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DejaVu Sans" w:hAnsi="DejaVu Sans" w:eastAsia="DejaVu Sans"/>
          <w:b/>
          <w:color w:val="B54B2A"/>
          <w:sz w:val="16"/>
        </w:rPr>
        <w:t>CORNER ITALIANO  |  RISORSE UFFICIALI</w:t>
      </w:r>
    </w:p>
    <w:p>
      <w:pPr>
        <w:spacing w:before="560"/>
        <w:jc w:val="center"/>
      </w:pPr>
      <w:r>
        <w:rPr>
          <w:rFonts w:ascii="DejaVu Sans" w:hAnsi="DejaVu Sans" w:eastAsia="DejaVu Sans"/>
          <w:b/>
          <w:color w:val="123044"/>
          <w:sz w:val="50"/>
        </w:rPr>
        <w:t>Test del 2050</w:t>
      </w:r>
    </w:p>
    <w:p>
      <w:pPr>
        <w:jc w:val="center"/>
      </w:pPr>
      <w:r>
        <w:rPr>
          <w:rFonts w:ascii="DejaVu Sans" w:hAnsi="DejaVu Sans" w:eastAsia="DejaVu Sans"/>
          <w:b/>
          <w:color w:val="123044"/>
          <w:sz w:val="44"/>
        </w:rPr>
        <w:t>Quaderno operativo</w:t>
      </w:r>
    </w:p>
    <w:p>
      <w:pPr>
        <w:spacing w:before="200"/>
        <w:jc w:val="center"/>
      </w:pPr>
      <w:r>
        <w:rPr>
          <w:rFonts w:ascii="DejaVu Sans" w:hAnsi="DejaVu Sans" w:eastAsia="DejaVu Sans"/>
          <w:color w:val="5D6870"/>
          <w:sz w:val="18"/>
        </w:rPr>
        <w:t>Mappa dei tre vocabolari, sette domande, monitoraggio, decisione e riesame.</w:t>
      </w:r>
    </w:p>
    <w:p>
      <w:pPr>
        <w:spacing w:before="600"/>
        <w:jc w:val="center"/>
      </w:pPr>
      <w:r>
        <w:rPr>
          <w:rFonts w:ascii="DejaVu Sans" w:hAnsi="DejaVu Sans" w:eastAsia="DejaVu Sans"/>
          <w:color w:val="234C61"/>
          <w:sz w:val="18"/>
        </w:rPr>
        <w:t>Edizione italiana - luglio 2026</w:t>
      </w:r>
    </w:p>
    <w:p>
      <w:pPr>
        <w:spacing w:before="520"/>
        <w:jc w:val="center"/>
      </w:pPr>
      <w:hyperlink r:id="rId12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pPr>
        <w:spacing w:before="800"/>
        <w:jc w:val="center"/>
      </w:pPr>
      <w:r>
        <w:rPr>
          <w:rFonts w:ascii="DejaVu Sans" w:hAnsi="DejaVu Sans" w:eastAsia="DejaVu Sans"/>
          <w:i/>
          <w:color w:val="5D6870"/>
          <w:sz w:val="15"/>
        </w:rPr>
        <w:t>Stampare in formato US Letter (8,5 × 11 pollici) al 100%. Compilare con fatti, documenti, versione e data. Le pagine vuote sono intenzionali e servono alla registrazione delle evidenze.</w:t>
      </w:r>
    </w:p>
    <w:p>
      <w:r>
        <w:br w:type="page"/>
      </w:r>
    </w:p>
    <w:p>
      <w:pPr>
        <w:pStyle w:val="Heading1"/>
        <w:spacing w:before="100" w:after="60"/>
      </w:pPr>
      <w:r>
        <w:t>Mappa dei tre vocabolari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Le tre liste rispondono a domande diverse. La modalità descrive il potere esercitato dal sistema; lo stato dell’evidenza qualifica ciascuna domanda del Test; la decisione organizzativa stabilisce che cosa viene autorizzato nel complesso. Non si sommano e non si traducono automaticamente l’una nell’altra.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272"/>
        <w:gridCol w:w="5060"/>
        <w:gridCol w:w="2892"/>
      </w:tblGrid>
      <w:tr>
        <w:trPr>
          <w:tblHeader w:val="true"/>
          <w:cantSplit/>
        </w:trPr>
        <w:tc>
          <w:tcPr>
            <w:tcW w:type="dxa" w:w="2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Piano</w:t>
            </w:r>
          </w:p>
        </w:tc>
        <w:tc>
          <w:tcPr>
            <w:tcW w:type="dxa" w:w="50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Vocabolario e significato</w:t>
            </w:r>
          </w:p>
        </w:tc>
        <w:tc>
          <w:tcPr>
            <w:tcW w:type="dxa" w:w="289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Regola d’uso</w:t>
            </w:r>
          </w:p>
        </w:tc>
      </w:tr>
      <w:tr>
        <w:trPr>
          <w:cantSplit/>
        </w:trPr>
        <w:tc>
          <w:tcPr>
            <w:tcW w:type="dxa" w:w="2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Modalità del sistema</w:t>
            </w:r>
          </w:p>
        </w:tc>
        <w:tc>
          <w:tcPr>
            <w:tcW w:type="dxa" w:w="50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Assiste - prepara, ordina o rende visibili elementi senza scegliere l’esito. Propone - raccomanda un’opzione che una persona competente può modificare o rifiutare. Decide - seleziona un esito entro il mandato. Esegue - produce l’effetto sul servizio, sul mondo o sui diritti.</w:t>
            </w:r>
          </w:p>
        </w:tc>
        <w:tc>
          <w:tcPr>
            <w:tcW w:type="dxa" w:w="289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Descrive il potere esercitato in un compito e in una fase. Può cambiare nello stesso sistema.</w:t>
            </w:r>
          </w:p>
        </w:tc>
      </w:tr>
      <w:tr>
        <w:trPr>
          <w:cantSplit/>
        </w:trPr>
        <w:tc>
          <w:tcPr>
            <w:tcW w:type="dxa" w:w="2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Stato dell’evidenza</w:t>
            </w:r>
          </w:p>
        </w:tc>
        <w:tc>
          <w:tcPr>
            <w:tcW w:type="dxa" w:w="50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Sufficiente - consente di decidere entro versione, data e perimetro scritti. Irrisolta - richiede prova, responsabile e scadenza. Bloccante - impedisce la delega o impone di restringere o fermare l’uso finché non cambia.</w:t>
            </w:r>
          </w:p>
        </w:tc>
        <w:tc>
          <w:tcPr>
            <w:tcW w:type="dxa" w:w="289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Qualifica ciascuna domanda del Test. Non è un giudizio favorevole sul prodotto e non genera una media.</w:t>
            </w:r>
          </w:p>
        </w:tc>
      </w:tr>
      <w:tr>
        <w:trPr>
          <w:cantSplit/>
        </w:trPr>
        <w:tc>
          <w:tcPr>
            <w:tcW w:type="dxa" w:w="227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Decisione organizzativa</w:t>
            </w:r>
          </w:p>
        </w:tc>
        <w:tc>
          <w:tcPr>
            <w:tcW w:type="dxa" w:w="50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Procedere - autorizzare il perimetro scritto. Limitare e provare - autorizzare una prova delimitata, reversibile e arrestabile. Non delegare - non affidare quel potere nel contesto corrente; registrare alternativa, costo e riesame. Interrompere - fermare un’autorizzazione già attiva.</w:t>
            </w:r>
          </w:p>
        </w:tc>
        <w:tc>
          <w:tcPr>
            <w:tcW w:type="dxa" w:w="289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Registra la scelta complessiva. Non deriva automaticamente dalla modalità né dal numero di evidenze Sufficiente.</w:t>
            </w:r>
          </w:p>
        </w:tc>
      </w:tr>
    </w:tbl>
    <w:p>
      <w:pPr>
        <w:spacing w:after="0"/>
      </w:pPr>
    </w:p>
    <w:p>
      <w:pPr>
        <w:pStyle w:val="Heading1"/>
        <w:spacing w:before="100" w:after="60"/>
      </w:pPr>
      <w:r>
        <w:t>Dal Test alla decisione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78"/>
        <w:gridCol w:w="7746"/>
      </w:tblGrid>
      <w:tr>
        <w:trPr>
          <w:tblHeader w:val="true"/>
          <w:cantSplit/>
        </w:trPr>
        <w:tc>
          <w:tcPr>
            <w:tcW w:type="dxa" w:w="24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Passaggio</w:t>
            </w:r>
          </w:p>
        </w:tc>
        <w:tc>
          <w:tcPr>
            <w:tcW w:type="dxa" w:w="774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Che cosa deve restare osservabile</w:t>
            </w:r>
          </w:p>
        </w:tc>
      </w:tr>
      <w:tr>
        <w:trPr>
          <w:cantSplit/>
        </w:trPr>
        <w:tc>
          <w:tcPr>
            <w:tcW w:type="dxa" w:w="24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1. Test</w:t>
            </w:r>
          </w:p>
        </w:tc>
        <w:tc>
          <w:tcPr>
            <w:tcW w:type="dxa" w:w="774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Scopo, Mandato, Prova, Distribuzione, Danno, Ricorso e Uscita; evidenze e condizioni non compensabili.</w:t>
            </w:r>
          </w:p>
        </w:tc>
      </w:tr>
      <w:tr>
        <w:trPr>
          <w:cantSplit/>
        </w:trPr>
        <w:tc>
          <w:tcPr>
            <w:tcW w:type="dxa" w:w="24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2. Mandato</w:t>
            </w:r>
          </w:p>
        </w:tc>
        <w:tc>
          <w:tcPr>
            <w:tcW w:type="dxa" w:w="774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Compiti, modalità, dati, persone, luoghi, durata, volume, registri, divieti, soglie e autorità d’arresto.</w:t>
            </w:r>
          </w:p>
        </w:tc>
      </w:tr>
      <w:tr>
        <w:trPr>
          <w:cantSplit/>
        </w:trPr>
        <w:tc>
          <w:tcPr>
            <w:tcW w:type="dxa" w:w="24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3. Monitoraggio del ciclo di vita</w:t>
            </w:r>
          </w:p>
        </w:tc>
        <w:tc>
          <w:tcPr>
            <w:tcW w:type="dxa" w:w="774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Versione, benefici, eccezioni, carico di supervisione, incidenti, ricorsi, competenza residua e prova d’uscita.</w:t>
            </w:r>
          </w:p>
        </w:tc>
      </w:tr>
      <w:tr>
        <w:trPr>
          <w:cantSplit/>
        </w:trPr>
        <w:tc>
          <w:tcPr>
            <w:tcW w:type="dxa" w:w="24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4. Limitare, uscire o interrompere</w:t>
            </w:r>
          </w:p>
        </w:tc>
        <w:tc>
          <w:tcPr>
            <w:tcW w:type="dxa" w:w="774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Restringere il mandato, passare alla modalità degradata, sostituire o fermare quando le condizioni non reggono più.</w:t>
            </w:r>
          </w:p>
        </w:tc>
      </w:tr>
    </w:tbl>
    <w:p>
      <w:pPr>
        <w:spacing w:after="0"/>
      </w:pP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Assiste non equivale a Procedere; Sufficiente non equivale a un giudizio positivo. Se modello, dati, fornitore, scala o responsabili cambiano, il Test si riapre.</w:t>
      </w:r>
    </w:p>
    <w:p>
      <w:r>
        <w:br w:type="page"/>
      </w:r>
    </w:p>
    <w:p>
      <w:pPr>
        <w:pStyle w:val="Heading1"/>
        <w:spacing w:before="100" w:after="60"/>
      </w:pPr>
      <w:r>
        <w:t>Scheda compilabile del Test del 2050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Sei pagine: identificazione; sette domande; monitoraggio; decisione e riesame. Compilare con fatti datati. Sufficiente vale nel perimetro scritto; Irrisolta richiede prova e scadenza; Bloccante restringe o ferma. Benefici non compensano Ricorso, Uscita o autorità d’arresto assenti.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615"/>
        <w:gridCol w:w="6609"/>
      </w:tblGrid>
      <w:tr>
        <w:trPr>
          <w:tblHeader w:val="true"/>
          <w:cantSplit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Pagina 1 - Scheda minima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Compilazione</w:t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Problema, beneficiari e criterio di successo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Decisione o servizio inciso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Sistema, versione, fornitore e dipendenze essenziali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Dati necessari e dati vietati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Persone esposte e gruppi meno tutelati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Danno non accettabile e tempo al danno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Comprensibilità verificata e caso limite usato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Autorità di sospensione e modalità degradata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Compilatore, ruolo e responsabile della decisione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61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Data, evento di riesame e fine prevista</w:t>
            </w:r>
          </w:p>
        </w:tc>
        <w:tc>
          <w:tcPr>
            <w:tcW w:type="dxa" w:w="660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Le sette domande - Scopo e Mandato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1. Scopo</w:t>
            </w:r>
          </w:p>
        </w:tc>
      </w:tr>
      <w:tr>
        <w:trPr>
          <w:cantSplit/>
          <w:trHeight w:val="3600" w:hRule="atLeast"/>
        </w:trPr>
        <w:tc>
          <w:tcPr>
            <w:tcW w:type="dxa" w:w="10224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Quale problema osservabile viene affrontato, per chi e con quale criterio di miglioramento? Quale alternativa meno invasiva e quale costo del non intervenire sono stati confrontati?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2. Mandato</w:t>
            </w:r>
          </w:p>
        </w:tc>
      </w:tr>
      <w:tr>
        <w:trPr>
          <w:cantSplit/>
          <w:trHeight w:val="3600" w:hRule="atLeast"/>
        </w:trPr>
        <w:tc>
          <w:tcPr>
            <w:tcW w:type="dxa" w:w="10224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 ciascun compito il sistema Assiste, Propone, Decide o Esegue? Quali dati, persone, luoghi, durata e volume delimitano il potere; quali azioni sono vietate e chi può fermarlo?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Le sette domande - Prova e Distribuzione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3. Prova</w:t>
            </w:r>
          </w:p>
        </w:tc>
      </w:tr>
      <w:tr>
        <w:trPr>
          <w:cantSplit/>
          <w:trHeight w:val="3600" w:hRule="atLeast"/>
        </w:trPr>
        <w:tc>
          <w:tcPr>
            <w:tcW w:type="dxa" w:w="10224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Quali fonti, dati, prestazioni nel contesto, limiti e casi di fallimento sostengono la scelta? La comprensibilità è stata verificata nel tempo disponibile su un caso ordinario e uno limite?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4. Distribuzione</w:t>
            </w:r>
          </w:p>
        </w:tc>
      </w:tr>
      <w:tr>
        <w:trPr>
          <w:cantSplit/>
          <w:trHeight w:val="3600" w:hRule="atLeast"/>
        </w:trPr>
        <w:tc>
          <w:tcPr>
            <w:tcW w:type="dxa" w:w="10224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Chi riceve beneficio, tempo o potere e chi sostiene lavoro, rischio, costi materiali, formazione o difficoltà di contestazione? Chi paga durante la correzione e se la delega non parte?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Le sette domande - Danno e Ricorso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5. Danno</w:t>
            </w:r>
          </w:p>
        </w:tc>
      </w:tr>
      <w:tr>
        <w:trPr>
          <w:cantSplit/>
          <w:trHeight w:val="3600" w:hRule="atLeast"/>
        </w:trPr>
        <w:tc>
          <w:tcPr>
            <w:tcW w:type="dxa" w:w="10224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Quale fallimento plausibile può verificarsi, quanto è grave e reversibile e quanto tempo passa prima che diventi difficile correggerlo? Quale soglia è inaccettabile e quale riparazione resta possibile?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6. Ricorso</w:t>
            </w:r>
          </w:p>
        </w:tc>
      </w:tr>
      <w:tr>
        <w:trPr>
          <w:cantSplit/>
          <w:trHeight w:val="3600" w:hRule="atLeast"/>
        </w:trPr>
        <w:tc>
          <w:tcPr>
            <w:tcW w:type="dxa" w:w="10224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Chi subisce l’esito riceve una notifica comprensibile, accede agli elementi correggibili e raggiunge in tempo un revisore competente con autorità di sospendere, modificare e comunicare un esito motivato?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Le sette domande - Uscita e monitoraggio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0224"/>
      </w:tblGrid>
      <w:tr>
        <w:trPr>
          <w:tblHeader w:val="true"/>
          <w:cantSplit/>
        </w:trPr>
        <w:tc>
          <w:tcPr>
            <w:tcW w:type="dxa" w:w="1022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7. Uscita</w:t>
            </w:r>
          </w:p>
        </w:tc>
      </w:tr>
      <w:tr>
        <w:trPr>
          <w:cantSplit/>
          <w:trHeight w:val="3600" w:hRule="atLeast"/>
        </w:trPr>
        <w:tc>
          <w:tcPr>
            <w:tcW w:type="dxa" w:w="10224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Il sistema può essere fermato o sostituito mantenendo dati, diritti e servizi essenziali? Configurazioni, permessi e registri sono riutilizzabili; la modalità degradata è stata provata; quando è avvenuta l’ultima prova reale e chi ne sostiene il costo?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p>
      <w:pPr>
        <w:pStyle w:val="Heading2"/>
        <w:spacing w:before="100" w:after="60"/>
      </w:pPr>
      <w:r>
        <w:t>Passaggio al monitoraggio del ciclo di vita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718"/>
        <w:gridCol w:w="6506"/>
      </w:tblGrid>
      <w:tr>
        <w:trPr>
          <w:tblHeader w:val="true"/>
          <w:cantSplit/>
        </w:trPr>
        <w:tc>
          <w:tcPr>
            <w:tcW w:type="dxa" w:w="37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 di monitoraggio</w:t>
            </w:r>
          </w:p>
        </w:tc>
        <w:tc>
          <w:tcPr>
            <w:tcW w:type="dxa" w:w="650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Aggiornamento</w:t>
            </w:r>
          </w:p>
        </w:tc>
      </w:tr>
      <w:tr>
        <w:trPr>
          <w:cantSplit/>
          <w:trHeight w:val="700" w:hRule="atLeast"/>
        </w:trPr>
        <w:tc>
          <w:tcPr>
            <w:tcW w:type="dxa" w:w="37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Mandato, modalità e versione in vigore</w:t>
            </w:r>
          </w:p>
        </w:tc>
        <w:tc>
          <w:tcPr>
            <w:tcW w:type="dxa" w:w="650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7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Benefici e danni osservati rispetto alla scheda</w:t>
            </w:r>
          </w:p>
        </w:tc>
        <w:tc>
          <w:tcPr>
            <w:tcW w:type="dxa" w:w="650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7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Eccezioni, incidenti, Ricorsi e correzioni</w:t>
            </w:r>
          </w:p>
        </w:tc>
        <w:tc>
          <w:tcPr>
            <w:tcW w:type="dxa" w:w="650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7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Carico di supervisione, formazione e competenza residua</w:t>
            </w:r>
          </w:p>
        </w:tc>
        <w:tc>
          <w:tcPr>
            <w:tcW w:type="dxa" w:w="650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7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Ultima prova d’uscita: data, risultato e costo trasferito</w:t>
            </w:r>
          </w:p>
        </w:tc>
        <w:tc>
          <w:tcPr>
            <w:tcW w:type="dxa" w:w="650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7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Soglia di restrizione o arresto raggiunta</w:t>
            </w:r>
          </w:p>
        </w:tc>
        <w:tc>
          <w:tcPr>
            <w:tcW w:type="dxa" w:w="650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71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Responsabile e prossimo controllo</w:t>
            </w:r>
          </w:p>
        </w:tc>
        <w:tc>
          <w:tcPr>
            <w:tcW w:type="dxa" w:w="650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Decisione e condizioni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305"/>
        <w:gridCol w:w="6919"/>
      </w:tblGrid>
      <w:tr>
        <w:trPr>
          <w:tblHeader w:val="true"/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Decisione e condizioni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Decisione organizzativa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[ ] Procedere [ ] Limitare e provare [ ] Non delegare [ ] Interrompere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Motivazione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Evidenze decisive, condizioni Bloccante, costo dell’adozione e costo della non-adozione.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Perimetro autorizzato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Compiti, modalità, dati, persone, luoghi, durata e volume.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Azioni vietate o riservate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Ciò che resta a una persona o fuori dal sistema.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Condizioni prima del via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Prova mancante, responsabile, scadenza e conseguenza se non viene soddisfatta.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Monitoraggio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Indicatori, versione, eccezioni, carico di supervisione e soglie.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Modalità degradata e arresto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Servizio che continua, segnale, persona autorizzata e tempo massimo.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Ricorso e correzione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Canale, decisore, termine, modifica possibile e propagazione della correzione.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Alternativa mantenuta e costo del no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Lavoro, servizio o processo disponibile se la delega non parte o viene fermata.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Riesame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Data o evento anticipatore; partire dalla versione precedente e mostrare evidenza, soglia e cambiamenti.</w:t>
            </w:r>
          </w:p>
        </w:tc>
      </w:tr>
      <w:tr>
        <w:trPr>
          <w:cantSplit/>
        </w:trPr>
        <w:tc>
          <w:tcPr>
            <w:tcW w:type="dxa" w:w="330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Responsabilità</w:t>
            </w:r>
          </w:p>
        </w:tc>
        <w:tc>
          <w:tcPr>
            <w:tcW w:type="dxa" w:w="691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Nome, ruolo, dissenso registrato, firma e data.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headerReference w:type="first" r:id="rId13"/>
      <w:pgSz w:w="12240" w:h="15840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Quaderno operativo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2" w:lineRule="auto"/>
    </w:pPr>
    <w:rPr>
      <w:rFonts w:ascii="DejaVu Sans" w:hAnsi="DejaVu Sans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2050/risorse/" TargetMode="External"/><Relationship Id="rId1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Quaderno operativo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