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Protocollo avanzato di prova a due sistemi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Come usare un secondo sistema senza trasformarlo in un timbro automatico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PROTOCOLLO OPERATIVO ESTESO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REGOLA FONDAMENTALE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Un secondo sistema può cercare errori o condizioni contrarie; non costituisce una verifica indipendente per il solo fatto di avere un nome, un modello o un fornitore diverso. È un allegato alla Prova, non un secondo Test e non un modo per aggiungere voti.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Prima dell’uso definire risultato legittimo, azioni vietate, gruppi esposti, finestra del danno, divergenza capace di cambiare l’esito, responsabile e arresto. Provare in ombra, con casi avversi e soltanto dopo, se giustificato, su un volume limitato e reversibile. Il secondo sistema non risolve da solo conflitti di valori, disparità d’accesso, capacità organizzativa insufficiente o assenza di Ricorso.</w:t>
      </w:r>
    </w:p>
    <w:p>
      <w:pPr>
        <w:pStyle w:val="Heading1"/>
      </w:pPr>
      <w:r>
        <w:t>1. Scopo e limiti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Il protocollo serve quando un’organizzazione vuole affiancare al sistema principale un secondo sistema capace di cercare errori, condizioni contrarie o ragioni per riaprire il caso. Il secondo sistema produce evidenza aggiuntiva; non sostituisce il Test del 2050, il giudizio competente, il Ricorso o l’autorità d’arresto.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L’accordo fra i sistemi non prova che l’esito sia corretto. Il disaccordo non autorizza una media automatica. Entrambi possono dipendere dalle stesse fonti, dagli stessi dati, dalle stesse etichette o dalla stessa infrastruttura e quindi sbagliare nello stesso modo.</w:t>
      </w:r>
    </w:p>
    <w:p>
      <w:pPr>
        <w:pStyle w:val="Heading1"/>
      </w:pPr>
      <w:r>
        <w:t>2. Ruoli e separazione delle responsabilità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00"/>
        <w:gridCol w:w="7440"/>
      </w:tblGrid>
      <w:tr>
        <w:trPr>
          <w:tblHeader w:val="true"/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Ruolo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Responsabilità minima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Titolare del Test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Definisce problema, Mandato, soglie non compensabili e decisione organizzativa. Non delega il via libera ai due sistemi.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A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Svolge il compito nel perimetro sperimentale e conserva input, versione, output, fonti e incertezza.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B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Cerca errori, condizioni contrarie o elementi che potrebbero cambiare l’esito; non produce una media con A.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 della prova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Mantiene separati dati, registri, configurazioni e accessi; documenta dipendenze comuni e divergenze.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Revisore competente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Ricostruisce il punto controverso nella finestra disponibile e può restringere, sospendere o fermare.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Autorità d’arresto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Applica la conseguenza già scritta senza attendere il fornitore o un consenso informale.</w:t>
            </w:r>
          </w:p>
        </w:tc>
      </w:tr>
    </w:tbl>
    <w:p>
      <w:pPr>
        <w:spacing w:after="0"/>
      </w:pPr>
    </w:p>
    <w:p>
      <w:pPr>
        <w:pStyle w:val="Heading1"/>
      </w:pPr>
      <w:r>
        <w:t>3. Condizioni prima della prova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600"/>
        <w:gridCol w:w="724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Prima dell’accensione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Domanda da chiudere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Risultato legittimo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Quale esito sarebbe accettabile e quale miglioramento osservabile lo giustifica?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Azioni vietate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Che cosa nessuno dei due sistemi può decidere o eseguire?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Gruppi esposti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Chi riceve beneficio e chi sostiene rischio, attesa, lavoro o difficoltà di contestazione?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Finestra di controllo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Quanto tempo resta fra l’errore e una conseguenza difficile da correggere?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Quale disaccordo obbliga a riaprire il caso o impedisce l’effetto?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Arresto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Chi può fermare, con quale segnale e quale servizio continua in modalità degradata?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</w:t>
            </w:r>
          </w:p>
        </w:tc>
        <w:tc>
          <w:tcPr>
            <w:tcW w:type="dxa" w:w="72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Dati, registri, configurazioni e permessi possono essere ricostruiti senza il servizio principale?</w:t>
            </w:r>
          </w:p>
        </w:tc>
      </w:tr>
    </w:tbl>
    <w:p>
      <w:pPr>
        <w:spacing w:after="0"/>
      </w:pPr>
    </w:p>
    <w:p>
      <w:pPr>
        <w:pStyle w:val="Heading1"/>
      </w:pPr>
      <w:r>
        <w:t>4. Biblioteca dei casi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La prova non usa soltanto campioni comodi. Costruisce una biblioteca versionata di fallimenti realistici e conserva per ogni caso l’esito legittimo, ciò che potrebbe smentirlo e la persona competente a ricostruirlo.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00"/>
        <w:gridCol w:w="7440"/>
      </w:tblGrid>
      <w:tr>
        <w:trPr>
          <w:tblHeader w:val="true"/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Famiglia di casi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Che cosa deve mettere alla prova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ordinario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Prestazione attesa, tempi reali e leggibilità della spiegazione.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limite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Condizione rara ma plausibile capace di cambiare l’esito.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Dati incompleti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Capacità di riconoscere ciò che manca e impedire una falsa sicurezza.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Istruzioni in conflitto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Priorità, escalation e tracciabilità della regola applicata.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Errore correlato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Fonte, annotazione, dipendenza o metrica condivisa che può ingannare entrambi i sistemi.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Sovraccarico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Simultaneità, attenzione e capacità del revisore sotto il volume previsto.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Indisponibilità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Modalità degradata, continuità, recupero e costo trasferito a utenti e personale.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</w:t>
            </w:r>
          </w:p>
        </w:tc>
        <w:tc>
          <w:tcPr>
            <w:tcW w:type="dxa" w:w="7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Riapertura di un caso fuori dal servizio principale con permessi e configurazioni funzionanti.</w:t>
            </w:r>
          </w:p>
        </w:tc>
      </w:tr>
    </w:tbl>
    <w:p>
      <w:pPr>
        <w:spacing w:after="0"/>
      </w:pPr>
    </w:p>
    <w:p>
      <w:pPr>
        <w:pStyle w:val="Heading1"/>
      </w:pPr>
      <w:r>
        <w:t>5. Procedura per fasi</w:t>
      </w:r>
    </w:p>
    <w:p>
      <w:pPr>
        <w:pStyle w:val="Heading2"/>
      </w:pPr>
      <w:r>
        <w:t>Fase 0 - Preparazione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Compilare Scopo, Mandato, Prova, Distribuzione, Danno, Ricorso e Uscita. Fissare per iscritto divergenza decisiva, soglia di arresto, modalità degradata e dati vietati prima di vedere le prestazioni dei sistemi.</w:t>
      </w:r>
    </w:p>
    <w:p>
      <w:pPr>
        <w:pStyle w:val="Heading2"/>
      </w:pPr>
      <w:r>
        <w:t>Fase 1 - Ombra separata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e B osservano gli stessi casi senza effetti esterni. Input, versioni, output, fonti e registri restano separati. Una persona confronta i punti decisivi, non la sola somiglianza linguistica.</w:t>
      </w:r>
    </w:p>
    <w:p>
      <w:pPr>
        <w:pStyle w:val="Heading2"/>
      </w:pPr>
      <w:r>
        <w:t>Fase 2 - Errori correlati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Inserire fonti comuni difettose, dati mancanti, eccezioni rare, istruzioni in conflitto, componenti condivisi e indisponibilità. Verificare se l’accordo nasconde una dipendenza comune.</w:t>
      </w:r>
    </w:p>
    <w:p>
      <w:pPr>
        <w:pStyle w:val="Heading2"/>
      </w:pPr>
      <w:r>
        <w:t>Fase 3 - Ricostruibilità sotto carico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Ripetere la prova al volume e alla simultaneità previsti. Misurare il tempo necessario per trovare il dato che cambia l’esito, confrontare l’alternativa e fermare prima del danno.</w:t>
      </w:r>
    </w:p>
    <w:p>
      <w:pPr>
        <w:pStyle w:val="Heading2"/>
      </w:pPr>
      <w:r>
        <w:t>Fase 4 - Volume limitato e reversibile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Solo se le fasi precedenti reggono, usare un perimetro ristretto con effetti reversibili, registri completi, persona raggiungibile e arresto immediato. Nessuna estensione automatica deriva da una buona media.</w:t>
      </w:r>
    </w:p>
    <w:p>
      <w:pPr>
        <w:pStyle w:val="Heading2"/>
      </w:pPr>
      <w:r>
        <w:t>Fase 5 - Uscita e riesame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Esportare e riaprire un caso con dati, configurazioni e permessi fuori dal servizio principale. Riesaminare quando cambiano modello, dati, fornitore, scala, compito, persone o alla scadenza fissata.</w:t>
      </w:r>
    </w:p>
    <w:p>
      <w:pPr>
        <w:pStyle w:val="Heading1"/>
      </w:pPr>
      <w:r>
        <w:t>6. Condizioni specifiche del controllo a due sistemi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83"/>
        <w:gridCol w:w="7057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Condizione</w:t>
            </w:r>
          </w:p>
        </w:tc>
        <w:tc>
          <w:tcPr>
            <w:tcW w:type="dxa" w:w="70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Prova richiesta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Indipendenza effettiva</w:t>
            </w:r>
          </w:p>
        </w:tc>
        <w:tc>
          <w:tcPr>
            <w:tcW w:type="dxa" w:w="70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Provare separazione o differenze rilevanti di fonti, dati, obiettivi e registri. Un nome, un modello o un fornitore diverso non basta.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Errori correlati</w:t>
            </w:r>
          </w:p>
        </w:tc>
        <w:tc>
          <w:tcPr>
            <w:tcW w:type="dxa" w:w="70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Cercare difetti condivisi: fonti comuni, annotazioni e metriche uguali, dipendenze comuni, dati incompleti, istruzioni in conflitto, sovraccarico e indisponibilità. Anche l’accordo può essere sbagliato nello stesso modo.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</w:t>
            </w:r>
          </w:p>
        </w:tc>
        <w:tc>
          <w:tcPr>
            <w:tcW w:type="dxa" w:w="70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Stabilire prima quale disaccordo può cambiare l’esito; conservare input, versioni, output e registri separati. Non mediare punteggi o confidenze per trasformare il disaccordo in autorizzazione.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Arresto predefinito</w:t>
            </w:r>
          </w:p>
        </w:tc>
        <w:tc>
          <w:tcPr>
            <w:tcW w:type="dxa" w:w="70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Se la divergenza decisiva non è ricostruibile entro la finestra del danno, applicare la conseguenza scritta: restringere il mandato, passare alla modalità degradata, Non delegare prima dell’avvio o Interrompere l’uso attivo.</w:t>
            </w:r>
          </w:p>
        </w:tc>
      </w:tr>
    </w:tbl>
    <w:p>
      <w:pPr>
        <w:spacing w:after="0"/>
      </w:pPr>
    </w:p>
    <w:p>
      <w:pPr>
        <w:pStyle w:val="Heading1"/>
      </w:pPr>
      <w:r>
        <w:t>7. Registro minimo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500"/>
        <w:gridCol w:w="7340"/>
      </w:tblGrid>
      <w:tr>
        <w:trPr>
          <w:tblHeader w:val="true"/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 del registro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Contenuto da conservare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Identificazione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Caso, data, responsabile, versione A, versione B, configurazioni e fonti.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Input separati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Dati disponibili a ciascun sistema, elementi esclusi e trasformazioni applicate.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Output separati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Risposte, fonti richiamate, incertezza, alternative e passaggi intermedi disponibili.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Accordo o divergenza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Punto sostanziale, non semplice differenza di stile; effetto possibile sulla decisione.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Ricostruzione umana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Dato decisivo, regola, alternativa, tempo impiegato e competenza richiesta.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Conseguenza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Proseguire in ombra, ripetere, restringere il Mandato, modalità degradata, Non delegare o Interrompere.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Costo</w:t>
            </w:r>
          </w:p>
        </w:tc>
        <w:tc>
          <w:tcPr>
            <w:tcW w:type="dxa" w:w="7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Ore, attese, formazione, contestazioni, dipendenza, energia e lavoro di uscita.</w:t>
            </w:r>
          </w:p>
        </w:tc>
      </w:tr>
    </w:tbl>
    <w:p>
      <w:pPr>
        <w:spacing w:after="0"/>
      </w:pPr>
    </w:p>
    <w:p>
      <w:pPr>
        <w:pStyle w:val="Heading1"/>
      </w:pPr>
      <w:r>
        <w:t>8. Regole decisionali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200"/>
        <w:gridCol w:w="6640"/>
      </w:tblGrid>
      <w:tr>
        <w:trPr>
          <w:tblHeader w:val="true"/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Situazione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Conseguenza minima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 e B concordano, ma condividono una dipendenza non verificata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Evidenza Irrisolta; nessuna estensione del Mandato.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 e B divergono su un punto non decisivo e la ragione è ricostruibile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Registrare; mantenere il perimetro; riesaminare la biblioteca dei casi.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 ricostruibile nella finestra di controllo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Inviare al revisore competente; l’effetto resta sospeso finché il caso non è chiuso.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 non ricostruibile in tempo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Restringere il Mandato o passare alla modalità degradata; se il potere è già attivo, Interrompere.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Entrambi i sistemi falliscono sullo stesso caso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Trattare l’accordo come errore correlato; correggere fonti, dati, obiettivi o processo prima di ripetere.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Il carico rende nominale la supervisione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Ridurre volume o modalità; finanziare capacità umana; non aggiungere una firma ornamentale.</w:t>
            </w:r>
          </w:p>
        </w:tc>
      </w:tr>
      <w:tr>
        <w:trPr>
          <w:cantSplit/>
        </w:trPr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L’uscita non ricostruisce il servizio</w:t>
            </w:r>
          </w:p>
        </w:tc>
        <w:tc>
          <w:tcPr>
            <w:tcW w:type="dxa" w:w="6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Condizione Bloccante: Non delegare prima dell’avvio o Interrompere l’uso attivo.</w:t>
            </w:r>
          </w:p>
        </w:tc>
      </w:tr>
    </w:tbl>
    <w:p>
      <w:pPr>
        <w:spacing w:after="0"/>
      </w:pPr>
    </w:p>
    <w:p>
      <w:pPr>
        <w:pStyle w:val="Heading1"/>
      </w:pPr>
      <w:r>
        <w:t>9. Verbale di chiusura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ESITO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verbale conserva versione, perimetro provato, casi falliti, divergenze, ore di supervisione, costi, condizioni non risolte, decisione organizzativa, responsabile, arresto e data di riesame. Un buon risultato non autorizza compiti, dati o volumi che non sono stati provati.</w:t>
            </w:r>
          </w:p>
        </w:tc>
      </w:tr>
    </w:tbl>
    <w:p>
      <w:pPr>
        <w:spacing w:after="0"/>
      </w:pPr>
    </w:p>
    <w:p>
      <w:pPr>
        <w:pStyle w:val="Heading2"/>
      </w:pPr>
      <w:r>
        <w:t>Checklist di chiusura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00"/>
        <w:gridCol w:w="5440"/>
      </w:tblGrid>
      <w:tr>
        <w:trPr>
          <w:tblHeader w:val="true"/>
          <w:cantSplit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Controllo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Esito e riferimento</w:t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Versioni A e B identificate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Dipendenze comuni documentate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Divergenze decisive ricostruite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Carico reale e finestra di controllo provati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Ricorso e autorità d’arresto raggiungibili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Modalità degradata e uscita provate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Costi di supervisione e non-adozione registrati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organizzativa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[ ] Procedere [ ] Limitare e provare [ ] Non delegare [ ] Interrompere</w:t>
            </w:r>
          </w:p>
        </w:tc>
      </w:tr>
      <w:tr>
        <w:trPr>
          <w:cantSplit/>
          <w:trHeight w:val="420" w:hRule="atLeast"/>
        </w:trPr>
        <w:tc>
          <w:tcPr>
            <w:tcW w:type="dxa" w:w="4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Responsabile, firma, data e riesame</w:t>
            </w:r>
          </w:p>
        </w:tc>
        <w:tc>
          <w:tcPr>
            <w:tcW w:type="dxa" w:w="5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Protocollo di prova a due sistemi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prova a due sistemi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