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 editorial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RISORSE UFFICIALI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Protocollo avanzato di prova a due sistemi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Come usare un secondo sistema senza trasformarlo in un timbro automatico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PROTOCOLLO OPERATIVO ESTESO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Edizione italiana - luglio 2026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https://www.corneritaliano.com/2050/risorse/</w:t>
        </w:r>
      </w:hyperlink>
    </w:p>
    <w:p>
      <w:r>
        <w:br w:type="page"/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REGOLA FONDAMENTALE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Un secondo sistema può cercare errori o condizioni contrarie; non costituisce una verifica indipendente per il solo fatto di avere un nome, un modello o un fornitore diverso. È un allegato alla Prova, non un secondo Test e non un modo per aggiungere voti.</w:t>
            </w:r>
          </w:p>
        </w:tc>
      </w:tr>
    </w:tbl>
    <w:p>
      <w:pPr>
        <w:spacing w:after="0"/>
      </w:pP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Prima dell’uso definire risultato legittimo, azioni vietate, gruppi esposti, finestra del danno, divergenza capace di cambiare l’esito, responsabile e arresto. Provare in ombra, con casi avversi e soltanto dopo, se giustificato, su un volume limitato e reversibile. Il secondo sistema non risolve da solo conflitti di valori, disparità d’accesso, capacità organizzativa insufficiente o assenza di Ricorso.</w:t>
      </w:r>
    </w:p>
    <w:p>
      <w:pPr>
        <w:pStyle w:val="Heading1"/>
      </w:pPr>
      <w:r>
        <w:t>1. Scopo e limiti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Il protocollo serve quando un’organizzazione vuole affiancare al sistema principale un secondo sistema capace di cercare errori, condizioni contrarie o ragioni per riaprire il caso. Il secondo sistema produce evidenza aggiuntiva; non sostituisce il Test del 2050, il giudizio competente, il Ricorso o l’autorità d’arresto.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L’accordo fra i sistemi non prova che l’esito sia corretto. Il disaccordo non autorizza una media automatica. Entrambi possono dipendere dalle stesse fonti, dagli stessi dati, dalle stesse etichette o dalla stessa infrastruttura e quindi sbagliare nello stesso modo.</w:t>
      </w:r>
    </w:p>
    <w:p>
      <w:pPr>
        <w:pStyle w:val="Heading1"/>
      </w:pPr>
      <w:r>
        <w:t>2. Ruoli e separazione delle responsabilità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494"/>
        <w:gridCol w:w="7730"/>
      </w:tblGrid>
      <w:tr>
        <w:trPr>
          <w:tblHeader w:val="true"/>
          <w:cantSplit/>
        </w:trPr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Ruolo</w:t>
            </w:r>
          </w:p>
        </w:tc>
        <w:tc>
          <w:tcPr>
            <w:tcW w:type="dxa" w:w="77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Responsabilità minima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Titolare del Test</w:t>
            </w:r>
          </w:p>
        </w:tc>
        <w:tc>
          <w:tcPr>
            <w:tcW w:type="dxa" w:w="77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Definisce problema, Mandato, soglie non compensabili e decisione organizzativa. Non delega il via libera ai due sistemi.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Sistema A</w:t>
            </w:r>
          </w:p>
        </w:tc>
        <w:tc>
          <w:tcPr>
            <w:tcW w:type="dxa" w:w="77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Svolge il compito nel perimetro sperimentale e conserva input, versione, output, fonti e incertezza.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Sistema B</w:t>
            </w:r>
          </w:p>
        </w:tc>
        <w:tc>
          <w:tcPr>
            <w:tcW w:type="dxa" w:w="77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Cerca errori, condizioni contrarie o elementi che potrebbero cambiare l’esito; non produce una media con A.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Responsabile della prova</w:t>
            </w:r>
          </w:p>
        </w:tc>
        <w:tc>
          <w:tcPr>
            <w:tcW w:type="dxa" w:w="77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Mantiene separati dati, registri, configurazioni e accessi; documenta dipendenze comuni e divergenze.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Revisore competente</w:t>
            </w:r>
          </w:p>
        </w:tc>
        <w:tc>
          <w:tcPr>
            <w:tcW w:type="dxa" w:w="77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Ricostruisce il punto controverso nella finestra disponibile e può restringere, sospendere o fermare.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Autorità d’arresto</w:t>
            </w:r>
          </w:p>
        </w:tc>
        <w:tc>
          <w:tcPr>
            <w:tcW w:type="dxa" w:w="77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Applica la conseguenza già scritta senza attendere il fornitore o un consenso informale.</w:t>
            </w:r>
          </w:p>
        </w:tc>
      </w:tr>
    </w:tbl>
    <w:p>
      <w:pPr>
        <w:spacing w:after="0"/>
      </w:pPr>
    </w:p>
    <w:p>
      <w:pPr>
        <w:pStyle w:val="Heading1"/>
      </w:pPr>
      <w:r>
        <w:t>3. Condizioni prima della prova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701"/>
        <w:gridCol w:w="7523"/>
      </w:tblGrid>
      <w:tr>
        <w:trPr>
          <w:tblHeader w:val="true"/>
          <w:cantSplit/>
        </w:trPr>
        <w:tc>
          <w:tcPr>
            <w:tcW w:type="dxa" w:w="2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Prima dell’accensione</w:t>
            </w:r>
          </w:p>
        </w:tc>
        <w:tc>
          <w:tcPr>
            <w:tcW w:type="dxa" w:w="75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Domanda da chiudere</w:t>
            </w:r>
          </w:p>
        </w:tc>
      </w:tr>
      <w:tr>
        <w:trPr>
          <w:cantSplit/>
        </w:trPr>
        <w:tc>
          <w:tcPr>
            <w:tcW w:type="dxa" w:w="2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Risultato legittimo</w:t>
            </w:r>
          </w:p>
        </w:tc>
        <w:tc>
          <w:tcPr>
            <w:tcW w:type="dxa" w:w="75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Quale esito sarebbe accettabile e quale miglioramento osservabile lo giustifica?</w:t>
            </w:r>
          </w:p>
        </w:tc>
      </w:tr>
      <w:tr>
        <w:trPr>
          <w:cantSplit/>
        </w:trPr>
        <w:tc>
          <w:tcPr>
            <w:tcW w:type="dxa" w:w="2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Azioni vietate</w:t>
            </w:r>
          </w:p>
        </w:tc>
        <w:tc>
          <w:tcPr>
            <w:tcW w:type="dxa" w:w="75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Che cosa nessuno dei due sistemi può decidere o eseguire?</w:t>
            </w:r>
          </w:p>
        </w:tc>
      </w:tr>
      <w:tr>
        <w:trPr>
          <w:cantSplit/>
        </w:trPr>
        <w:tc>
          <w:tcPr>
            <w:tcW w:type="dxa" w:w="2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Gruppi esposti</w:t>
            </w:r>
          </w:p>
        </w:tc>
        <w:tc>
          <w:tcPr>
            <w:tcW w:type="dxa" w:w="75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Chi riceve beneficio e chi sostiene rischio, attesa, lavoro o difficoltà di contestazione?</w:t>
            </w:r>
          </w:p>
        </w:tc>
      </w:tr>
      <w:tr>
        <w:trPr>
          <w:cantSplit/>
        </w:trPr>
        <w:tc>
          <w:tcPr>
            <w:tcW w:type="dxa" w:w="2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Finestra di controllo</w:t>
            </w:r>
          </w:p>
        </w:tc>
        <w:tc>
          <w:tcPr>
            <w:tcW w:type="dxa" w:w="75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Quanto tempo resta fra l’errore e una conseguenza difficile da correggere?</w:t>
            </w:r>
          </w:p>
        </w:tc>
      </w:tr>
      <w:tr>
        <w:trPr>
          <w:cantSplit/>
        </w:trPr>
        <w:tc>
          <w:tcPr>
            <w:tcW w:type="dxa" w:w="2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Divergenza decisiva</w:t>
            </w:r>
          </w:p>
        </w:tc>
        <w:tc>
          <w:tcPr>
            <w:tcW w:type="dxa" w:w="75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Quale disaccordo obbliga a riaprire il caso o impedisce l’effetto?</w:t>
            </w:r>
          </w:p>
        </w:tc>
      </w:tr>
      <w:tr>
        <w:trPr>
          <w:cantSplit/>
        </w:trPr>
        <w:tc>
          <w:tcPr>
            <w:tcW w:type="dxa" w:w="2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Arresto</w:t>
            </w:r>
          </w:p>
        </w:tc>
        <w:tc>
          <w:tcPr>
            <w:tcW w:type="dxa" w:w="75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Chi può fermare, con quale segnale e quale servizio continua in modalità degradata?</w:t>
            </w:r>
          </w:p>
        </w:tc>
      </w:tr>
      <w:tr>
        <w:trPr>
          <w:cantSplit/>
        </w:trPr>
        <w:tc>
          <w:tcPr>
            <w:tcW w:type="dxa" w:w="2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Uscita</w:t>
            </w:r>
          </w:p>
        </w:tc>
        <w:tc>
          <w:tcPr>
            <w:tcW w:type="dxa" w:w="752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Dati, registri, configurazioni e permessi possono essere ricostruiti senza il servizio principale?</w:t>
            </w:r>
          </w:p>
        </w:tc>
      </w:tr>
    </w:tbl>
    <w:p>
      <w:pPr>
        <w:spacing w:after="0"/>
      </w:pPr>
    </w:p>
    <w:p>
      <w:pPr>
        <w:pStyle w:val="Heading1"/>
      </w:pPr>
      <w:r>
        <w:t>4. Biblioteca dei casi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La prova non usa soltanto campioni comodi. Costruisce una biblioteca versionata di fallimenti realistici e conserva per ogni caso l’esito legittimo, ciò che potrebbe smentirlo e la persona competente a ricostruirlo.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494"/>
        <w:gridCol w:w="7730"/>
      </w:tblGrid>
      <w:tr>
        <w:trPr>
          <w:tblHeader w:val="true"/>
          <w:cantSplit/>
        </w:trPr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Famiglia di casi</w:t>
            </w:r>
          </w:p>
        </w:tc>
        <w:tc>
          <w:tcPr>
            <w:tcW w:type="dxa" w:w="77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Che cosa deve mettere alla prova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Caso ordinario</w:t>
            </w:r>
          </w:p>
        </w:tc>
        <w:tc>
          <w:tcPr>
            <w:tcW w:type="dxa" w:w="77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Prestazione attesa, tempi reali e leggibilità della spiegazione.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Caso limite</w:t>
            </w:r>
          </w:p>
        </w:tc>
        <w:tc>
          <w:tcPr>
            <w:tcW w:type="dxa" w:w="77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Condizione rara ma plausibile capace di cambiare l’esito.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Dati incompleti</w:t>
            </w:r>
          </w:p>
        </w:tc>
        <w:tc>
          <w:tcPr>
            <w:tcW w:type="dxa" w:w="77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Capacità di riconoscere ciò che manca e impedire una falsa sicurezza.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Istruzioni in conflitto</w:t>
            </w:r>
          </w:p>
        </w:tc>
        <w:tc>
          <w:tcPr>
            <w:tcW w:type="dxa" w:w="77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Priorità, escalation e tracciabilità della regola applicata.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Errore correlato</w:t>
            </w:r>
          </w:p>
        </w:tc>
        <w:tc>
          <w:tcPr>
            <w:tcW w:type="dxa" w:w="77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Fonte, annotazione, dipendenza o metrica condivisa che può ingannare entrambi i sistemi.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Sovraccarico</w:t>
            </w:r>
          </w:p>
        </w:tc>
        <w:tc>
          <w:tcPr>
            <w:tcW w:type="dxa" w:w="77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Simultaneità, attenzione e capacità del revisore sotto il volume previsto.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Indisponibilità</w:t>
            </w:r>
          </w:p>
        </w:tc>
        <w:tc>
          <w:tcPr>
            <w:tcW w:type="dxa" w:w="77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Modalità degradata, continuità, recupero e costo trasferito a utenti e personale.</w:t>
            </w:r>
          </w:p>
        </w:tc>
      </w:tr>
      <w:tr>
        <w:trPr>
          <w:cantSplit/>
        </w:trPr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Uscita</w:t>
            </w:r>
          </w:p>
        </w:tc>
        <w:tc>
          <w:tcPr>
            <w:tcW w:type="dxa" w:w="773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Riapertura di un caso fuori dal servizio principale con permessi e configurazioni funzionanti.</w:t>
            </w:r>
          </w:p>
        </w:tc>
      </w:tr>
    </w:tbl>
    <w:p>
      <w:pPr>
        <w:spacing w:after="0"/>
      </w:pPr>
    </w:p>
    <w:p>
      <w:pPr>
        <w:pStyle w:val="Heading1"/>
      </w:pPr>
      <w:r>
        <w:t>5. Procedura per fasi</w:t>
      </w:r>
    </w:p>
    <w:p>
      <w:pPr>
        <w:pStyle w:val="Heading2"/>
      </w:pPr>
      <w:r>
        <w:t>Fase 0 - Preparazione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Compilare Scopo, Mandato, Prova, Distribuzione, Danno, Ricorso e Uscita. Fissare per iscritto divergenza decisiva, soglia di arresto, modalità degradata e dati vietati prima di vedere le prestazioni dei sistemi.</w:t>
      </w:r>
    </w:p>
    <w:p>
      <w:pPr>
        <w:pStyle w:val="Heading2"/>
      </w:pPr>
      <w:r>
        <w:t>Fase 1 - Ombra separata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A e B osservano gli stessi casi senza effetti esterni. Input, versioni, output, fonti e registri restano separati. Una persona confronta i punti decisivi, non la sola somiglianza linguistica.</w:t>
      </w:r>
    </w:p>
    <w:p>
      <w:pPr>
        <w:pStyle w:val="Heading2"/>
      </w:pPr>
      <w:r>
        <w:t>Fase 2 - Errori correlati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Inserire fonti comuni difettose, dati mancanti, eccezioni rare, istruzioni in conflitto, componenti condivisi e indisponibilità. Verificare se l’accordo nasconde una dipendenza comune.</w:t>
      </w:r>
    </w:p>
    <w:p>
      <w:pPr>
        <w:pStyle w:val="Heading2"/>
      </w:pPr>
      <w:r>
        <w:t>Fase 3 - Ricostruibilità sotto carico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Ripetere la prova al volume e alla simultaneità previsti. Misurare il tempo necessario per trovare il dato che cambia l’esito, confrontare l’alternativa e fermare prima del danno.</w:t>
      </w:r>
    </w:p>
    <w:p>
      <w:pPr>
        <w:pStyle w:val="Heading2"/>
      </w:pPr>
      <w:r>
        <w:t>Fase 4 - Volume limitato e reversibile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Solo se le fasi precedenti reggono, usare un perimetro ristretto con effetti reversibili, registri completi, persona raggiungibile e arresto immediato. Nessuna estensione automatica deriva da una buona media.</w:t>
      </w:r>
    </w:p>
    <w:p>
      <w:pPr>
        <w:pStyle w:val="Heading2"/>
      </w:pPr>
      <w:r>
        <w:t>Fase 5 - Uscita e riesame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Esportare e riaprire un caso con dati, configurazioni e permessi fuori dal servizio principale. Riesaminare quando cambiano modello, dati, fornitore, scala, compito, persone o alla scadenza fissata.</w:t>
      </w:r>
    </w:p>
    <w:p>
      <w:pPr>
        <w:pStyle w:val="Heading1"/>
      </w:pPr>
      <w:r>
        <w:t>6. Condizioni specifiche del controllo a due sistemi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892"/>
        <w:gridCol w:w="7332"/>
      </w:tblGrid>
      <w:tr>
        <w:trPr>
          <w:tblHeader w:val="true"/>
          <w:cantSplit/>
        </w:trPr>
        <w:tc>
          <w:tcPr>
            <w:tcW w:type="dxa" w:w="28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Condizione</w:t>
            </w:r>
          </w:p>
        </w:tc>
        <w:tc>
          <w:tcPr>
            <w:tcW w:type="dxa" w:w="73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Prova richiesta</w:t>
            </w:r>
          </w:p>
        </w:tc>
      </w:tr>
      <w:tr>
        <w:trPr>
          <w:cantSplit/>
        </w:trPr>
        <w:tc>
          <w:tcPr>
            <w:tcW w:type="dxa" w:w="28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Indipendenza effettiva</w:t>
            </w:r>
          </w:p>
        </w:tc>
        <w:tc>
          <w:tcPr>
            <w:tcW w:type="dxa" w:w="73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Provare separazione o differenze rilevanti di fonti, dati, obiettivi e registri. Un nome, un modello o un fornitore diverso non basta.</w:t>
            </w:r>
          </w:p>
        </w:tc>
      </w:tr>
      <w:tr>
        <w:trPr>
          <w:cantSplit/>
        </w:trPr>
        <w:tc>
          <w:tcPr>
            <w:tcW w:type="dxa" w:w="28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Errori correlati</w:t>
            </w:r>
          </w:p>
        </w:tc>
        <w:tc>
          <w:tcPr>
            <w:tcW w:type="dxa" w:w="73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Cercare difetti condivisi: fonti comuni, annotazioni e metriche uguali, dipendenze comuni, dati incompleti, istruzioni in conflitto, sovraccarico e indisponibilità. Anche l’accordo può essere sbagliato nello stesso modo.</w:t>
            </w:r>
          </w:p>
        </w:tc>
      </w:tr>
      <w:tr>
        <w:trPr>
          <w:cantSplit/>
        </w:trPr>
        <w:tc>
          <w:tcPr>
            <w:tcW w:type="dxa" w:w="28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Divergenza decisiva</w:t>
            </w:r>
          </w:p>
        </w:tc>
        <w:tc>
          <w:tcPr>
            <w:tcW w:type="dxa" w:w="73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Stabilire prima quale disaccordo può cambiare l’esito; conservare input, versioni, output e registri separati. Non mediare punteggi o confidenze per trasformare il disaccordo in autorizzazione.</w:t>
            </w:r>
          </w:p>
        </w:tc>
      </w:tr>
      <w:tr>
        <w:trPr>
          <w:cantSplit/>
        </w:trPr>
        <w:tc>
          <w:tcPr>
            <w:tcW w:type="dxa" w:w="289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Arresto predefinito</w:t>
            </w:r>
          </w:p>
        </w:tc>
        <w:tc>
          <w:tcPr>
            <w:tcW w:type="dxa" w:w="73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Se la divergenza decisiva non è ricostruibile entro la finestra del danno, applicare la conseguenza scritta: restringere il mandato, passare alla modalità degradata, Non delegare prima dell’avvio o Interrompere l’uso attivo.</w:t>
            </w:r>
          </w:p>
        </w:tc>
      </w:tr>
    </w:tbl>
    <w:p>
      <w:pPr>
        <w:spacing w:after="0"/>
      </w:pPr>
    </w:p>
    <w:p>
      <w:pPr>
        <w:pStyle w:val="Heading1"/>
      </w:pPr>
      <w:r>
        <w:t>7. Registro minimo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598"/>
        <w:gridCol w:w="7626"/>
      </w:tblGrid>
      <w:tr>
        <w:trPr>
          <w:tblHeader w:val="true"/>
          <w:cantSplit/>
        </w:trPr>
        <w:tc>
          <w:tcPr>
            <w:tcW w:type="dxa" w:w="259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Campo del registro</w:t>
            </w:r>
          </w:p>
        </w:tc>
        <w:tc>
          <w:tcPr>
            <w:tcW w:type="dxa" w:w="762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Contenuto da conservare</w:t>
            </w:r>
          </w:p>
        </w:tc>
      </w:tr>
      <w:tr>
        <w:trPr>
          <w:cantSplit/>
        </w:trPr>
        <w:tc>
          <w:tcPr>
            <w:tcW w:type="dxa" w:w="259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Identificazione</w:t>
            </w:r>
          </w:p>
        </w:tc>
        <w:tc>
          <w:tcPr>
            <w:tcW w:type="dxa" w:w="762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Caso, data, responsabile, versione A, versione B, configurazioni e fonti.</w:t>
            </w:r>
          </w:p>
        </w:tc>
      </w:tr>
      <w:tr>
        <w:trPr>
          <w:cantSplit/>
        </w:trPr>
        <w:tc>
          <w:tcPr>
            <w:tcW w:type="dxa" w:w="259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Input separati</w:t>
            </w:r>
          </w:p>
        </w:tc>
        <w:tc>
          <w:tcPr>
            <w:tcW w:type="dxa" w:w="762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Dati disponibili a ciascun sistema, elementi esclusi e trasformazioni applicate.</w:t>
            </w:r>
          </w:p>
        </w:tc>
      </w:tr>
      <w:tr>
        <w:trPr>
          <w:cantSplit/>
        </w:trPr>
        <w:tc>
          <w:tcPr>
            <w:tcW w:type="dxa" w:w="259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Output separati</w:t>
            </w:r>
          </w:p>
        </w:tc>
        <w:tc>
          <w:tcPr>
            <w:tcW w:type="dxa" w:w="762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Risposte, fonti richiamate, incertezza, alternative e passaggi intermedi disponibili.</w:t>
            </w:r>
          </w:p>
        </w:tc>
      </w:tr>
      <w:tr>
        <w:trPr>
          <w:cantSplit/>
        </w:trPr>
        <w:tc>
          <w:tcPr>
            <w:tcW w:type="dxa" w:w="259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Accordo o divergenza</w:t>
            </w:r>
          </w:p>
        </w:tc>
        <w:tc>
          <w:tcPr>
            <w:tcW w:type="dxa" w:w="762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Punto sostanziale, non semplice differenza di stile; effetto possibile sulla decisione.</w:t>
            </w:r>
          </w:p>
        </w:tc>
      </w:tr>
      <w:tr>
        <w:trPr>
          <w:cantSplit/>
        </w:trPr>
        <w:tc>
          <w:tcPr>
            <w:tcW w:type="dxa" w:w="259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Ricostruzione umana</w:t>
            </w:r>
          </w:p>
        </w:tc>
        <w:tc>
          <w:tcPr>
            <w:tcW w:type="dxa" w:w="762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Dato decisivo, regola, alternativa, tempo impiegato e competenza richiesta.</w:t>
            </w:r>
          </w:p>
        </w:tc>
      </w:tr>
      <w:tr>
        <w:trPr>
          <w:cantSplit/>
        </w:trPr>
        <w:tc>
          <w:tcPr>
            <w:tcW w:type="dxa" w:w="259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Conseguenza</w:t>
            </w:r>
          </w:p>
        </w:tc>
        <w:tc>
          <w:tcPr>
            <w:tcW w:type="dxa" w:w="762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Proseguire in ombra, ripetere, restringere il Mandato, modalità degradata, Non delegare o Interrompere.</w:t>
            </w:r>
          </w:p>
        </w:tc>
      </w:tr>
      <w:tr>
        <w:trPr>
          <w:cantSplit/>
        </w:trPr>
        <w:tc>
          <w:tcPr>
            <w:tcW w:type="dxa" w:w="259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Costo</w:t>
            </w:r>
          </w:p>
        </w:tc>
        <w:tc>
          <w:tcPr>
            <w:tcW w:type="dxa" w:w="762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Ore, attese, formazione, contestazioni, dipendenza, energia e lavoro di uscita.</w:t>
            </w:r>
          </w:p>
        </w:tc>
      </w:tr>
    </w:tbl>
    <w:p>
      <w:pPr>
        <w:spacing w:after="0"/>
      </w:pPr>
    </w:p>
    <w:p>
      <w:pPr>
        <w:pStyle w:val="Heading1"/>
      </w:pPr>
      <w:r>
        <w:t>8. Regole decisionali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3325"/>
        <w:gridCol w:w="6899"/>
      </w:tblGrid>
      <w:tr>
        <w:trPr>
          <w:tblHeader w:val="true"/>
          <w:cantSplit/>
        </w:trPr>
        <w:tc>
          <w:tcPr>
            <w:tcW w:type="dxa" w:w="332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Situazione</w:t>
            </w:r>
          </w:p>
        </w:tc>
        <w:tc>
          <w:tcPr>
            <w:tcW w:type="dxa" w:w="68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Conseguenza minima</w:t>
            </w:r>
          </w:p>
        </w:tc>
      </w:tr>
      <w:tr>
        <w:trPr>
          <w:cantSplit/>
        </w:trPr>
        <w:tc>
          <w:tcPr>
            <w:tcW w:type="dxa" w:w="332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 e B concordano, ma condividono una dipendenza non verificata</w:t>
            </w:r>
          </w:p>
        </w:tc>
        <w:tc>
          <w:tcPr>
            <w:tcW w:type="dxa" w:w="68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Evidenza Irrisolta; nessuna estensione del Mandato.</w:t>
            </w:r>
          </w:p>
        </w:tc>
      </w:tr>
      <w:tr>
        <w:trPr>
          <w:cantSplit/>
        </w:trPr>
        <w:tc>
          <w:tcPr>
            <w:tcW w:type="dxa" w:w="332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A e B divergono su un punto non decisivo e la ragione è ricostruibile</w:t>
            </w:r>
          </w:p>
        </w:tc>
        <w:tc>
          <w:tcPr>
            <w:tcW w:type="dxa" w:w="68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Registrare; mantenere il perimetro; riesaminare la biblioteca dei casi.</w:t>
            </w:r>
          </w:p>
        </w:tc>
      </w:tr>
      <w:tr>
        <w:trPr>
          <w:cantSplit/>
        </w:trPr>
        <w:tc>
          <w:tcPr>
            <w:tcW w:type="dxa" w:w="332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Divergenza decisiva ricostruibile nella finestra di controllo</w:t>
            </w:r>
          </w:p>
        </w:tc>
        <w:tc>
          <w:tcPr>
            <w:tcW w:type="dxa" w:w="68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Inviare al revisore competente; l’effetto resta sospeso finché il caso non è chiuso.</w:t>
            </w:r>
          </w:p>
        </w:tc>
      </w:tr>
      <w:tr>
        <w:trPr>
          <w:cantSplit/>
        </w:trPr>
        <w:tc>
          <w:tcPr>
            <w:tcW w:type="dxa" w:w="332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Divergenza decisiva non ricostruibile in tempo</w:t>
            </w:r>
          </w:p>
        </w:tc>
        <w:tc>
          <w:tcPr>
            <w:tcW w:type="dxa" w:w="68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Restringere il Mandato o passare alla modalità degradata; se il potere è già attivo, Interrompere.</w:t>
            </w:r>
          </w:p>
        </w:tc>
      </w:tr>
      <w:tr>
        <w:trPr>
          <w:cantSplit/>
        </w:trPr>
        <w:tc>
          <w:tcPr>
            <w:tcW w:type="dxa" w:w="332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Entrambi i sistemi falliscono sullo stesso caso</w:t>
            </w:r>
          </w:p>
        </w:tc>
        <w:tc>
          <w:tcPr>
            <w:tcW w:type="dxa" w:w="68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Trattare l’accordo come errore correlato; correggere fonti, dati, obiettivi o processo prima di ripetere.</w:t>
            </w:r>
          </w:p>
        </w:tc>
      </w:tr>
      <w:tr>
        <w:trPr>
          <w:cantSplit/>
        </w:trPr>
        <w:tc>
          <w:tcPr>
            <w:tcW w:type="dxa" w:w="332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Il carico rende nominale la supervisione</w:t>
            </w:r>
          </w:p>
        </w:tc>
        <w:tc>
          <w:tcPr>
            <w:tcW w:type="dxa" w:w="68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Ridurre volume o modalità; finanziare capacità umana; non aggiungere una firma ornamentale.</w:t>
            </w:r>
          </w:p>
        </w:tc>
      </w:tr>
      <w:tr>
        <w:trPr>
          <w:cantSplit/>
        </w:trPr>
        <w:tc>
          <w:tcPr>
            <w:tcW w:type="dxa" w:w="332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L’uscita non ricostruisce il servizio</w:t>
            </w:r>
          </w:p>
        </w:tc>
        <w:tc>
          <w:tcPr>
            <w:tcW w:type="dxa" w:w="68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Condizione Bloccante: Non delegare prima dell’avvio o Interrompere l’uso attivo.</w:t>
            </w:r>
          </w:p>
        </w:tc>
      </w:tr>
    </w:tbl>
    <w:p>
      <w:pPr>
        <w:spacing w:after="0"/>
      </w:pPr>
    </w:p>
    <w:p>
      <w:pPr>
        <w:pStyle w:val="Heading1"/>
      </w:pPr>
      <w:r>
        <w:t>9. Verbale di chiusura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ESITO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Il verbale conserva versione, perimetro provato, casi falliti, divergenze, ore di supervisione, costi, condizioni non risolte, decisione organizzativa, responsabile, arresto e data di riesame. Un buon risultato non autorizza compiti, dati o volumi che non sono stati provati.</w:t>
            </w:r>
          </w:p>
        </w:tc>
      </w:tr>
    </w:tbl>
    <w:p>
      <w:pPr>
        <w:spacing w:after="0"/>
      </w:pPr>
    </w:p>
    <w:p>
      <w:pPr>
        <w:pStyle w:val="Heading2"/>
      </w:pPr>
      <w:r>
        <w:t>Checklist di chiusura</w:t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4572"/>
        <w:gridCol w:w="5652"/>
      </w:tblGrid>
      <w:tr>
        <w:trPr>
          <w:tblHeader w:val="true"/>
          <w:cantSplit/>
        </w:trPr>
        <w:tc>
          <w:tcPr>
            <w:tcW w:type="dxa" w:w="45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Controllo</w:t>
            </w:r>
          </w:p>
        </w:tc>
        <w:tc>
          <w:tcPr>
            <w:tcW w:type="dxa" w:w="56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23044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Esito e riferimento</w:t>
            </w:r>
          </w:p>
        </w:tc>
      </w:tr>
      <w:tr>
        <w:trPr>
          <w:cantSplit/>
          <w:trHeight w:val="420" w:hRule="atLeast"/>
        </w:trPr>
        <w:tc>
          <w:tcPr>
            <w:tcW w:type="dxa" w:w="45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[ ] Versioni A e B identificate</w:t>
            </w:r>
          </w:p>
        </w:tc>
        <w:tc>
          <w:tcPr>
            <w:tcW w:type="dxa" w:w="56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45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[ ] Dipendenze comuni documentate</w:t>
            </w:r>
          </w:p>
        </w:tc>
        <w:tc>
          <w:tcPr>
            <w:tcW w:type="dxa" w:w="56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45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[ ] Divergenze decisive ricostruite</w:t>
            </w:r>
          </w:p>
        </w:tc>
        <w:tc>
          <w:tcPr>
            <w:tcW w:type="dxa" w:w="56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45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[ ] Carico reale e finestra di controllo provati</w:t>
            </w:r>
          </w:p>
        </w:tc>
        <w:tc>
          <w:tcPr>
            <w:tcW w:type="dxa" w:w="56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45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[ ] Ricorso e autorità d’arresto raggiungibili</w:t>
            </w:r>
          </w:p>
        </w:tc>
        <w:tc>
          <w:tcPr>
            <w:tcW w:type="dxa" w:w="56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45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[ ] Modalità degradata e uscita provate</w:t>
            </w:r>
          </w:p>
        </w:tc>
        <w:tc>
          <w:tcPr>
            <w:tcW w:type="dxa" w:w="56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45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[ ] Costi di supervisione e non-adozione registrati</w:t>
            </w:r>
          </w:p>
        </w:tc>
        <w:tc>
          <w:tcPr>
            <w:tcW w:type="dxa" w:w="56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  <w:tr>
        <w:trPr>
          <w:cantSplit/>
          <w:trHeight w:val="420" w:hRule="atLeast"/>
        </w:trPr>
        <w:tc>
          <w:tcPr>
            <w:tcW w:type="dxa" w:w="45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Decisione organizzativa</w:t>
            </w:r>
          </w:p>
        </w:tc>
        <w:tc>
          <w:tcPr>
            <w:tcW w:type="dxa" w:w="56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FF2F3"/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  <w:t>[ ] Procedere [ ] Limitare e provare [ ] Non delegare [ ] Interrompere</w:t>
            </w:r>
          </w:p>
        </w:tc>
      </w:tr>
      <w:tr>
        <w:trPr>
          <w:cantSplit/>
          <w:trHeight w:val="420" w:hRule="atLeast"/>
        </w:trPr>
        <w:tc>
          <w:tcPr>
            <w:tcW w:type="dxa" w:w="457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E2528"/>
                <w:sz w:val="16"/>
              </w:rPr>
              <w:t>Responsabile, firma, data e riesame</w:t>
            </w:r>
          </w:p>
        </w:tc>
        <w:tc>
          <w:tcPr>
            <w:tcW w:type="dxa" w:w="56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6"/>
              </w:rPr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footerReference w:type="first" r:id="rId11"/>
      <w:headerReference w:type="first" r:id="rId14"/>
      <w:pgSz w:w="12240" w:h="15840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IT-R1 - Edizione italiana - luglio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https://www.corneritaliano.com/2050/risorse/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RISORSE UFFICIALI  |  </w:t>
    </w:r>
    <w:r>
      <w:rPr>
        <w:rFonts w:ascii="DejaVu Sans" w:hAnsi="DejaVu Sans" w:eastAsia="DejaVu Sans"/>
        <w:color w:val="5D6870"/>
        <w:sz w:val="15"/>
      </w:rPr>
      <w:t>Protocollo di prova a due sistemi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2050/risorse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 di prova a due sistemi</dc:title>
  <dc:subject>Risorsa ufficiale del libro 2050</dc:subject>
  <dc:creator/>
  <cp:keywords>2050, intelligenza artificiale, Test del 2050, risorse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