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 editoriale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RISORSE UFFICIALI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Caso Davide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Verbale completo, uscita e riapertura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ESEMPIO COMPILATO DEL TEST DEL 2050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Edizione italiana - luglio 2026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https://www.corneritaliano.com/2050/risorse/</w:t>
        </w:r>
      </w:hyperlink>
    </w:p>
    <w:p>
      <w:r>
        <w:br w:type="page"/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40"/>
      </w:tblGrid>
      <w:tr>
        <w:trPr>
          <w:cantSplit/>
        </w:trPr>
        <w:tc>
          <w:tcPr>
            <w:tcW w:type="dxa" w:w="984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COME LEGGERE IL CASO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Il verbale distingue lo stato dell’evidenza dalla decisione organizzativa. Anche con sette domande documentate, un prodotto competente può ricevere Non delegare quando il beneficio residuo non sostiene supervisione, dipendenza e uscita nel contesto concreto.</w:t>
            </w:r>
          </w:p>
        </w:tc>
      </w:tr>
    </w:tbl>
    <w:p>
      <w:pPr>
        <w:spacing w:after="0"/>
      </w:pPr>
    </w:p>
    <w:p>
      <w:pPr>
        <w:pStyle w:val="Heading1"/>
      </w:pPr>
      <w:r>
        <w:t>Cronologia del fascicolo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200"/>
        <w:gridCol w:w="7640"/>
      </w:tblGrid>
      <w:tr>
        <w:trPr>
          <w:tblHeader w:val="true"/>
          <w:cantSplit/>
        </w:trPr>
        <w:tc>
          <w:tcPr>
            <w:tcW w:type="dxa" w:w="2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Momento</w:t>
            </w:r>
          </w:p>
        </w:tc>
        <w:tc>
          <w:tcPr>
            <w:tcW w:type="dxa" w:w="76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Evidenza e decisione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Prima del pilota</w:t>
            </w:r>
          </w:p>
        </w:tc>
        <w:tc>
          <w:tcPr>
            <w:tcW w:type="dxa" w:w="76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La prova d’uscita fallisce: registri leggibili, ma configurazioni e permessi non ricostruibili. Il pilota non parte.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Seconda prova d’uscita</w:t>
            </w:r>
          </w:p>
        </w:tc>
        <w:tc>
          <w:tcPr>
            <w:tcW w:type="dxa" w:w="76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Il gruppo riapre un fascicolo in un ambiente separato, riassegna i permessi e continua senza il servizio principale.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Avvio</w:t>
            </w:r>
          </w:p>
        </w:tc>
        <w:tc>
          <w:tcPr>
            <w:tcW w:type="dxa" w:w="76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Decisione Limitare e provare: novanta giorni, prima in ombra e poi soltanto in modalità Propone; nessuna esecuzione autonoma.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Durante il pilota</w:t>
            </w:r>
          </w:p>
        </w:tc>
        <w:tc>
          <w:tcPr>
            <w:tcW w:type="dxa" w:w="76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Il sistema trova precedenti utili. Un errore plausibile riutilizza una clausola senza la limitazione concordata. Nessun contratto viene inviato.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15 ottobre 2050</w:t>
            </w:r>
          </w:p>
        </w:tc>
        <w:tc>
          <w:tcPr>
            <w:tcW w:type="dxa" w:w="76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Il beneficio netto resta modesto e irregolare dopo supervisione, formazione, apprendistato e uscita. Decisione Non delegare.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16 ottobre 2050</w:t>
            </w:r>
          </w:p>
        </w:tc>
        <w:tc>
          <w:tcPr>
            <w:tcW w:type="dxa" w:w="76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Il verbale registra anche il costo del no: offerte in coda, ore non fatturabili, saldo al fornitore e un cliente perso.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Chiusura</w:t>
            </w:r>
          </w:p>
        </w:tc>
        <w:tc>
          <w:tcPr>
            <w:tcW w:type="dxa" w:w="76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Esportazione finale, revoca degli accessi e riapertura casuale di un fascicolo senza assistenza del fornitore.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15 aprile 2051</w:t>
            </w:r>
          </w:p>
        </w:tc>
        <w:tc>
          <w:tcPr>
            <w:tcW w:type="dxa" w:w="76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Riapertura su una proposta più stretta: sola ricerca di precedenti, casi chiusi, ombra, nessun effetto esterno e possibilità di rispondere ancora no.</w:t>
            </w:r>
          </w:p>
        </w:tc>
      </w:tr>
    </w:tbl>
    <w:p>
      <w:pPr>
        <w:spacing w:after="0"/>
      </w:pPr>
    </w:p>
    <w:p>
      <w:pPr>
        <w:pStyle w:val="Heading1"/>
      </w:pPr>
      <w:r>
        <w:t>Verbale al 15 ottobre 2050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3081"/>
        <w:gridCol w:w="6759"/>
      </w:tblGrid>
      <w:tr>
        <w:trPr>
          <w:tblHeader w:val="true"/>
          <w:cantSplit/>
        </w:trPr>
        <w:tc>
          <w:tcPr>
            <w:tcW w:type="dxa" w:w="30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Campo</w:t>
            </w:r>
          </w:p>
        </w:tc>
        <w:tc>
          <w:tcPr>
            <w:tcW w:type="dxa" w:w="675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Verbale al 15 ottobre 2050</w:t>
            </w:r>
          </w:p>
        </w:tc>
      </w:tr>
      <w:tr>
        <w:trPr>
          <w:cantSplit/>
        </w:trPr>
        <w:tc>
          <w:tcPr>
            <w:tcW w:type="dxa" w:w="30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Sistema e decisione</w:t>
            </w:r>
          </w:p>
        </w:tc>
        <w:tc>
          <w:tcPr>
            <w:tcW w:type="dxa" w:w="675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Gemello operativo per la contrattualistica. Stabilire se adottarlo dopo un pilota di novanta giorni, prima in ombra e poi, se le prove reggono, in modalità Propone.</w:t>
            </w:r>
          </w:p>
        </w:tc>
      </w:tr>
      <w:tr>
        <w:trPr>
          <w:cantSplit/>
        </w:trPr>
        <w:tc>
          <w:tcPr>
            <w:tcW w:type="dxa" w:w="30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Contesto e persone esposte</w:t>
            </w:r>
          </w:p>
        </w:tc>
        <w:tc>
          <w:tcPr>
            <w:tcW w:type="dxa" w:w="675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Piccola impresa di Davide; responsabile della contrattualistica; collega più giovane in apprendistato; direttore commerciale; clienti e controparti vincolati dalle offerte.</w:t>
            </w:r>
          </w:p>
        </w:tc>
      </w:tr>
      <w:tr>
        <w:trPr>
          <w:cantSplit/>
        </w:trPr>
        <w:tc>
          <w:tcPr>
            <w:tcW w:type="dxa" w:w="30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Scopo - Sufficiente</w:t>
            </w:r>
          </w:p>
        </w:tc>
        <w:tc>
          <w:tcPr>
            <w:tcW w:type="dxa" w:w="675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Ridurre l’arretrato e il tempo di preparazione senza aumentare eccezioni mancate, correzioni tardive o impegni non compresi. L’alternativa organizzativa è valutata rispetto allo stesso bisogno.</w:t>
            </w:r>
          </w:p>
        </w:tc>
      </w:tr>
      <w:tr>
        <w:trPr>
          <w:cantSplit/>
        </w:trPr>
        <w:tc>
          <w:tcPr>
            <w:tcW w:type="dxa" w:w="30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Mandato - Sufficiente</w:t>
            </w:r>
          </w:p>
        </w:tc>
        <w:tc>
          <w:tcPr>
            <w:tcW w:type="dxa" w:w="675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Il gemello confronta precedenti, segnala scostamenti e formula alternative. Nessuna modalità Decide o Esegue: non invia né firma; turni, prezzi, personale e impegni contrattuali restano esclusi. Ogni supervisore segue al massimo dodici processi aperti, soglia di scenario da riesaminare sul carico reale.</w:t>
            </w:r>
          </w:p>
        </w:tc>
      </w:tr>
      <w:tr>
        <w:trPr>
          <w:cantSplit/>
        </w:trPr>
        <w:tc>
          <w:tcPr>
            <w:tcW w:type="dxa" w:w="30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Prova - Sufficiente</w:t>
            </w:r>
          </w:p>
        </w:tc>
        <w:tc>
          <w:tcPr>
            <w:tcW w:type="dxa" w:w="675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Casi chiusi comprendenti eccezioni costose, uso in ombra, successiva modalità Propone, incidente simulato e carico reale. Il sistema trova molti precedenti utili e commette un errore plausibile nel punto decisivo; il beneficio è reale, modesto e irregolare.</w:t>
            </w:r>
          </w:p>
        </w:tc>
      </w:tr>
      <w:tr>
        <w:trPr>
          <w:cantSplit/>
        </w:trPr>
        <w:tc>
          <w:tcPr>
            <w:tcW w:type="dxa" w:w="30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Distribuzione - Sufficiente</w:t>
            </w:r>
          </w:p>
        </w:tc>
        <w:tc>
          <w:tcPr>
            <w:tcW w:type="dxa" w:w="675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Il risparmio lordo è separato dalle ore degli esperti, dalla formazione, dall’apprendistato, dalle attese dei clienti e dal lavoro di uscita. La collega più giovane riceve tempo protetto per ricostruire i casi.</w:t>
            </w:r>
          </w:p>
        </w:tc>
      </w:tr>
      <w:tr>
        <w:trPr>
          <w:cantSplit/>
        </w:trPr>
        <w:tc>
          <w:tcPr>
            <w:tcW w:type="dxa" w:w="30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Danno - Sufficiente</w:t>
            </w:r>
          </w:p>
        </w:tc>
        <w:tc>
          <w:tcPr>
            <w:tcW w:type="dxa" w:w="675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Fallimento plausibile: una clausola omette una limitazione o trasferisce il rischio prima che fonte ed eccezione siano comprese. La firma lascia una finestra di controllo; non rende il danno trascurabile.</w:t>
            </w:r>
          </w:p>
        </w:tc>
      </w:tr>
      <w:tr>
        <w:trPr>
          <w:cantSplit/>
        </w:trPr>
        <w:tc>
          <w:tcPr>
            <w:tcW w:type="dxa" w:w="30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Ricorso - Sufficiente nel pilota</w:t>
            </w:r>
          </w:p>
        </w:tc>
        <w:tc>
          <w:tcPr>
            <w:tcW w:type="dxa" w:w="675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Nessun effetto esterno è automatico. La responsabile può riaprire, modificare, bloccare e sospendere; gli interventi restano registrati. Il dissenso del direttore commerciale è conservato nel verbale, ma non sostituisce il Ricorso della controparte.</w:t>
            </w:r>
          </w:p>
        </w:tc>
      </w:tr>
      <w:tr>
        <w:trPr>
          <w:cantSplit/>
        </w:trPr>
        <w:tc>
          <w:tcPr>
            <w:tcW w:type="dxa" w:w="30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Uscita - Bloccante, poi Sufficiente</w:t>
            </w:r>
          </w:p>
        </w:tc>
        <w:tc>
          <w:tcPr>
            <w:tcW w:type="dxa" w:w="675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La prima esportazione non ricostruisce configurazioni e permessi: il pilota non parte. Nel secondo test il team riapre un fascicolo in un ambiente separato e continua senza il servizio principale. Alla chiusura esporta registri e configurazioni, riapre un fascicolo casuale senza assistenza del fornitore e revoca gli accessi.</w:t>
            </w:r>
          </w:p>
        </w:tc>
      </w:tr>
      <w:tr>
        <w:trPr>
          <w:cantSplit/>
        </w:trPr>
        <w:tc>
          <w:tcPr>
            <w:tcW w:type="dxa" w:w="30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Decisione provvisoria</w:t>
            </w:r>
          </w:p>
        </w:tc>
        <w:tc>
          <w:tcPr>
            <w:tcW w:type="dxa" w:w="675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Limitare e provare: novanta giorni, prima in ombra e poi in modalità Propone; nessuna esecuzione autonoma; supervisione, controllo e apprendistato entrano nel conto del beneficio.</w:t>
            </w:r>
          </w:p>
        </w:tc>
      </w:tr>
      <w:tr>
        <w:trPr>
          <w:cantSplit/>
        </w:trPr>
        <w:tc>
          <w:tcPr>
            <w:tcW w:type="dxa" w:w="30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Monitoraggio</w:t>
            </w:r>
          </w:p>
        </w:tc>
        <w:tc>
          <w:tcPr>
            <w:tcW w:type="dxa" w:w="675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Il team registra tempi migliorati, eccezioni, interventi, ore esperte e ricostruzione dell’origine. Il sistema resta tecnicamente competente; quando la supervisione viene svolta davvero, il vantaggio netto non sostiene quel processo e quel volume.</w:t>
            </w:r>
          </w:p>
        </w:tc>
      </w:tr>
      <w:tr>
        <w:trPr>
          <w:cantSplit/>
        </w:trPr>
        <w:tc>
          <w:tcPr>
            <w:tcW w:type="dxa" w:w="30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Decisione finale - 15 ottobre 2050</w:t>
            </w:r>
          </w:p>
        </w:tc>
        <w:tc>
          <w:tcPr>
            <w:tcW w:type="dxa" w:w="675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Non delegare. Non rinnovare neppure la modalità Propone, attivare l’uscita e mantenere un’alternativa. Davide firma e assume una scelta che rinuncia a un beneficio reale.</w:t>
            </w:r>
          </w:p>
        </w:tc>
      </w:tr>
      <w:tr>
        <w:trPr>
          <w:cantSplit/>
        </w:trPr>
        <w:tc>
          <w:tcPr>
            <w:tcW w:type="dxa" w:w="30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Alternativa mantenuta</w:t>
            </w:r>
          </w:p>
        </w:tc>
        <w:tc>
          <w:tcPr>
            <w:tcW w:type="dxa" w:w="675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Raccolta di clausole approvate, eccezioni indicate all’apertura, coinvolgimento anticipato della persona esperta e ore protette per ricostruire i casi.</w:t>
            </w:r>
          </w:p>
        </w:tc>
      </w:tr>
      <w:tr>
        <w:trPr>
          <w:cantSplit/>
        </w:trPr>
        <w:tc>
          <w:tcPr>
            <w:tcW w:type="dxa" w:w="30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Costo del no</w:t>
            </w:r>
          </w:p>
        </w:tc>
        <w:tc>
          <w:tcPr>
            <w:tcW w:type="dxa" w:w="675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Offerte in coda, ore non fatturabili, saldo al fornitore, margine inferiore e un cliente perso. L’impresa conserva però fascicoli leggibili e una competenza più distribuita.</w:t>
            </w:r>
          </w:p>
        </w:tc>
      </w:tr>
      <w:tr>
        <w:trPr>
          <w:cantSplit/>
        </w:trPr>
        <w:tc>
          <w:tcPr>
            <w:tcW w:type="dxa" w:w="30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Responsabile e riesame</w:t>
            </w:r>
          </w:p>
        </w:tc>
        <w:tc>
          <w:tcPr>
            <w:tcW w:type="dxa" w:w="675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Davide. Verbale di chiusura del 16 ottobre 2050; riesame fissato al 15 aprile 2051.</w:t>
            </w:r>
          </w:p>
        </w:tc>
      </w:tr>
    </w:tbl>
    <w:p>
      <w:pPr>
        <w:spacing w:after="0"/>
      </w:pPr>
    </w:p>
    <w:p>
      <w:pPr>
        <w:pStyle w:val="Heading1"/>
      </w:pPr>
      <w:r>
        <w:t>Riapertura: 15 aprile 2051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Sei mesi dopo il no viene riesaminato senza essere cancellato. La proposta è nuova e più stretta; la prova resta separata dall’acquisto e conserva la possibilità concreta di rispondere ancora no.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882"/>
        <w:gridCol w:w="6958"/>
      </w:tblGrid>
      <w:tr>
        <w:trPr>
          <w:tblHeader w:val="true"/>
          <w:cantSplit/>
        </w:trPr>
        <w:tc>
          <w:tcPr>
            <w:tcW w:type="dxa" w:w="288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Campo</w:t>
            </w:r>
          </w:p>
        </w:tc>
        <w:tc>
          <w:tcPr>
            <w:tcW w:type="dxa" w:w="695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Riapertura del 15 aprile 2051</w:t>
            </w:r>
          </w:p>
        </w:tc>
      </w:tr>
      <w:tr>
        <w:trPr>
          <w:cantSplit/>
        </w:trPr>
        <w:tc>
          <w:tcPr>
            <w:tcW w:type="dxa" w:w="288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Nuova proposta</w:t>
            </w:r>
          </w:p>
        </w:tc>
        <w:tc>
          <w:tcPr>
            <w:tcW w:type="dxa" w:w="695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Ricerca dei precedenti senza generare offerte, costo minore e nessun accesso ai fascicoli aperti.</w:t>
            </w:r>
          </w:p>
        </w:tc>
      </w:tr>
      <w:tr>
        <w:trPr>
          <w:cantSplit/>
        </w:trPr>
        <w:tc>
          <w:tcPr>
            <w:tcW w:type="dxa" w:w="288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Perimetro della prova</w:t>
            </w:r>
          </w:p>
        </w:tc>
        <w:tc>
          <w:tcPr>
            <w:tcW w:type="dxa" w:w="695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Nuova prova in ombra su casi chiusi; nessun acquisto autorizzato e nessun effetto esterno.</w:t>
            </w:r>
          </w:p>
        </w:tc>
      </w:tr>
      <w:tr>
        <w:trPr>
          <w:cantSplit/>
        </w:trPr>
        <w:tc>
          <w:tcPr>
            <w:tcW w:type="dxa" w:w="288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Evidenze e costi</w:t>
            </w:r>
          </w:p>
        </w:tc>
        <w:tc>
          <w:tcPr>
            <w:tcW w:type="dxa" w:w="695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Attese, correzioni tardive, margine, ore degli esperti, controllo, formazione e apprendistato restano nello stesso conto.</w:t>
            </w:r>
          </w:p>
        </w:tc>
      </w:tr>
      <w:tr>
        <w:trPr>
          <w:cantSplit/>
        </w:trPr>
        <w:tc>
          <w:tcPr>
            <w:tcW w:type="dxa" w:w="288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Soglia e arresto</w:t>
            </w:r>
          </w:p>
        </w:tc>
        <w:tc>
          <w:tcPr>
            <w:tcW w:type="dxa" w:w="695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Criterio di successo, responsabile e autorità d’arresto vengono fissati prima dell’avvio; la prova può essere fermata senza comprare il sistema.</w:t>
            </w:r>
          </w:p>
        </w:tc>
      </w:tr>
      <w:tr>
        <w:trPr>
          <w:cantSplit/>
        </w:trPr>
        <w:tc>
          <w:tcPr>
            <w:tcW w:type="dxa" w:w="288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Decisione</w:t>
            </w:r>
          </w:p>
        </w:tc>
        <w:tc>
          <w:tcPr>
            <w:tcW w:type="dxa" w:w="695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Riaprire il confronto non revoca il primo no. Al termine restano disponibili Non delegare e la possibilità concreta di rispondere ancora no.</w:t>
            </w:r>
          </w:p>
        </w:tc>
      </w:tr>
    </w:tbl>
    <w:p>
      <w:pPr>
        <w:spacing w:after="0"/>
      </w:pPr>
    </w:p>
    <w:p>
      <w:pPr>
        <w:pStyle w:val="Heading1"/>
      </w:pPr>
      <w:r>
        <w:t>Criterio trasferibile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40"/>
      </w:tblGrid>
      <w:tr>
        <w:trPr>
          <w:cantSplit/>
        </w:trPr>
        <w:tc>
          <w:tcPr>
            <w:tcW w:type="dxa" w:w="984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IL PUNTO DEL CASO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Non delegare non significa dichiarare inutile il prodotto. Significa rifiutare quel potere, in quel processo e in quel momento, quando il beneficio residuo non sostiene supervisione, dipendenza e uscita e quando esiste un’alternativa organizzativa migliore. Il no resta motivato, costoso e riapribile.</w:t>
            </w:r>
          </w:p>
        </w:tc>
      </w:tr>
    </w:tbl>
    <w:p>
      <w:pPr>
        <w:spacing w:after="0"/>
      </w:pPr>
    </w:p>
    <w:p>
      <w:pPr>
        <w:pStyle w:val="Heading2"/>
      </w:pPr>
      <w:r>
        <w:t>Domande per trasferire il caso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4700"/>
        <w:gridCol w:w="5140"/>
      </w:tblGrid>
      <w:tr>
        <w:trPr>
          <w:tblHeader w:val="true"/>
          <w:cantSplit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Domanda</w:t>
            </w:r>
          </w:p>
        </w:tc>
        <w:tc>
          <w:tcPr>
            <w:tcW w:type="dxa" w:w="51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Evidenza da cercare nel proprio contesto</w:t>
            </w:r>
          </w:p>
        </w:tc>
      </w:tr>
      <w:tr>
        <w:trPr>
          <w:cantSplit/>
          <w:trHeight w:val="520" w:hRule="atLeast"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Il criterio di successo misura il bisogno o soltanto il volume prodotto?</w:t>
            </w:r>
          </w:p>
        </w:tc>
        <w:tc>
          <w:tcPr>
            <w:tcW w:type="dxa" w:w="51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Quale potere deve restare in modalità Assiste o Propone?</w:t>
            </w:r>
          </w:p>
        </w:tc>
        <w:tc>
          <w:tcPr>
            <w:tcW w:type="dxa" w:w="51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Chi paga supervisione, formazione, attesa e uscita?</w:t>
            </w:r>
          </w:p>
        </w:tc>
        <w:tc>
          <w:tcPr>
            <w:tcW w:type="dxa" w:w="51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Quale errore plausibile è elegante, convincente e sbagliato nel punto decisivo?</w:t>
            </w:r>
          </w:p>
        </w:tc>
        <w:tc>
          <w:tcPr>
            <w:tcW w:type="dxa" w:w="51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La prova d’uscita ricostruisce anche configurazioni e permessi?</w:t>
            </w:r>
          </w:p>
        </w:tc>
        <w:tc>
          <w:tcPr>
            <w:tcW w:type="dxa" w:w="51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Quale alternativa organizzativa affronta lo stesso bisogno?</w:t>
            </w:r>
          </w:p>
        </w:tc>
        <w:tc>
          <w:tcPr>
            <w:tcW w:type="dxa" w:w="51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Quale cambiamento giustificherebbe una riapertura senza cancellare il primo no?</w:t>
            </w:r>
          </w:p>
        </w:tc>
        <w:tc>
          <w:tcPr>
            <w:tcW w:type="dxa" w:w="514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</w:tbl>
    <w:p>
      <w:pPr>
        <w:spacing w:after="0"/>
      </w:pPr>
    </w:p>
    <w:sectPr>
      <w:headerReference w:type="default" r:id="rId9"/>
      <w:footerReference w:type="default" r:id="rId10"/>
      <w:footerReference w:type="first" r:id="rId11"/>
      <w:pgSz w:w="11905" w:h="16838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20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IT-R1 - Edizione italiana - luglio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https://www.corneritaliano.com/2050/risorse/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RISORSE UFFICIALI  |  </w:t>
    </w:r>
    <w:r>
      <w:rPr>
        <w:rFonts w:ascii="DejaVu Sans" w:hAnsi="DejaVu Sans" w:eastAsia="DejaVu Sans"/>
        <w:color w:val="5D6870"/>
        <w:sz w:val="15"/>
      </w:rPr>
      <w:t>Caso Davide - verbale completo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2050/risor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Caso Davide - verbale completo</dc:title>
  <dc:subject>Risorsa ufficiale del libro 2050</dc:subject>
  <dc:creator/>
  <cp:keywords>2050, intelligenza artificiale, Test del 2050, risorse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