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40"/>
        <w:jc w:val="center"/>
      </w:pPr>
      <w:r>
        <w:drawing>
          <wp:inline xmlns:a="http://schemas.openxmlformats.org/drawingml/2006/main" xmlns:pic="http://schemas.openxmlformats.org/drawingml/2006/picture">
            <wp:extent cx="1508760" cy="1005840"/>
            <wp:docPr id="1" name="Picture 1" descr="Logo editoriale Corner Italiano" title="Corner Italiano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rner-italiano-logo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08760" cy="10058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520" w:after="160"/>
        <w:jc w:val="center"/>
      </w:pPr>
      <w:r>
        <w:rPr>
          <w:rFonts w:ascii="DejaVu Sans" w:hAnsi="DejaVu Sans" w:eastAsia="DejaVu Sans"/>
          <w:b/>
          <w:color w:val="B54B2A"/>
          <w:sz w:val="17"/>
        </w:rPr>
        <w:t>CORNER ITALIANO  |  RISORSE UFFICIALI</w:t>
      </w:r>
    </w:p>
    <w:p>
      <w:pPr>
        <w:pStyle w:val="Title"/>
        <w:jc w:val="center"/>
      </w:pPr>
      <w:r>
        <w:rPr>
          <w:rFonts w:ascii="DejaVu Sans" w:hAnsi="DejaVu Sans" w:eastAsia="DejaVu Sans"/>
          <w:b/>
          <w:color w:val="123044"/>
          <w:sz w:val="56"/>
        </w:rPr>
        <w:t>Caso Davide</w:t>
      </w:r>
    </w:p>
    <w:p>
      <w:pPr>
        <w:pStyle w:val="Subtitle"/>
        <w:jc w:val="center"/>
      </w:pPr>
      <w:r>
        <w:rPr>
          <w:rFonts w:ascii="DejaVu Sans" w:hAnsi="DejaVu Sans" w:eastAsia="DejaVu Sans"/>
          <w:color w:val="5D6870"/>
          <w:sz w:val="25"/>
        </w:rPr>
        <w:t>Verbale completo, uscita e riapertura</w:t>
      </w:r>
    </w:p>
    <w:p>
      <w:pPr>
        <w:spacing w:before="440"/>
        <w:jc w:val="center"/>
      </w:pPr>
      <w:r>
        <w:rPr>
          <w:rFonts w:ascii="DejaVu Sans" w:hAnsi="DejaVu Sans" w:eastAsia="DejaVu Sans"/>
          <w:b/>
          <w:color w:val="B54B2A"/>
          <w:sz w:val="17"/>
        </w:rPr>
        <w:t>ESEMPIO COMPILATO DEL TEST DEL 2050</w:t>
      </w:r>
    </w:p>
    <w:p>
      <w:pPr>
        <w:jc w:val="center"/>
      </w:pPr>
      <w:r>
        <w:rPr>
          <w:rFonts w:ascii="DejaVu Sans" w:hAnsi="DejaVu Sans" w:eastAsia="DejaVu Sans"/>
          <w:color w:val="234C61"/>
          <w:sz w:val="19"/>
        </w:rPr>
        <w:t>Edizione italiana - luglio 2026</w:t>
      </w:r>
    </w:p>
    <w:p>
      <w:pPr>
        <w:spacing w:before="360"/>
        <w:jc w:val="center"/>
      </w:pPr>
      <w:hyperlink r:id="rId13">
        <w:r>
          <w:rPr>
            <w:rFonts w:ascii="DejaVu Sans" w:hAnsi="DejaVu Sans" w:eastAsia="DejaVu Sans"/>
            <w:color w:val="234C61"/>
            <w:u w:val="single"/>
            <w:sz w:val="18"/>
          </w:rPr>
          <w:t>https://www.corneritaliano.com/2050/risorse/</w:t>
        </w:r>
      </w:hyperlink>
    </w:p>
    <w:p>
      <w:r>
        <w:br w:type="page"/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50" w:type="dxa"/>
        <w:tblBorders>
          <w:top w:val="single" w:sz="7" w:space="0" w:color="B54B2A"/>
          <w:left w:val="single" w:sz="7" w:space="0" w:color="B54B2A"/>
          <w:bottom w:val="single" w:sz="7" w:space="0" w:color="B54B2A"/>
          <w:right w:val="single" w:sz="7" w:space="0" w:color="B54B2A"/>
          <w:insideH w:val="single" w:sz="7" w:space="0" w:color="B54B2A"/>
          <w:insideV w:val="single" w:sz="7" w:space="0" w:color="B54B2A"/>
        </w:tblBorders>
      </w:tblPr>
      <w:tblGrid>
        <w:gridCol w:w="10224"/>
      </w:tblGrid>
      <w:tr>
        <w:trPr>
          <w:cantSplit/>
        </w:trPr>
        <w:tc>
          <w:tcPr>
            <w:tcW w:type="dxa" w:w="10224"/>
            <w:shd w:fill="F7E7E0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>
              <w:rPr>
                <w:rFonts w:ascii="DejaVu Sans" w:hAnsi="DejaVu Sans" w:eastAsia="DejaVu Sans"/>
                <w:b/>
                <w:color w:val="B54B2A"/>
                <w:sz w:val="17"/>
              </w:rPr>
              <w:t xml:space="preserve">COME LEGGERE IL CASO  </w:t>
            </w:r>
            <w:r>
              <w:rPr>
                <w:rFonts w:ascii="DejaVu Sans" w:hAnsi="DejaVu Sans" w:eastAsia="DejaVu Sans"/>
                <w:color w:val="1E2528"/>
                <w:sz w:val="18"/>
              </w:rPr>
              <w:t>Il verbale distingue lo stato dell’evidenza dalla decisione organizzativa. Anche con sette domande documentate, un prodotto competente può ricevere Non delegare quando il beneficio residuo non sostiene supervisione, dipendenza e uscita nel contesto concreto.</w:t>
            </w:r>
          </w:p>
        </w:tc>
      </w:tr>
    </w:tbl>
    <w:p>
      <w:pPr>
        <w:spacing w:after="0"/>
      </w:pPr>
    </w:p>
    <w:p>
      <w:pPr>
        <w:pStyle w:val="Heading1"/>
      </w:pPr>
      <w:r>
        <w:t>Cronologia del fascicolo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2286"/>
        <w:gridCol w:w="7938"/>
      </w:tblGrid>
      <w:tr>
        <w:trPr>
          <w:tblHeader w:val="true"/>
          <w:cantSplit/>
        </w:trPr>
        <w:tc>
          <w:tcPr>
            <w:tcW w:type="dxa" w:w="228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23044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Momento</w:t>
            </w:r>
          </w:p>
        </w:tc>
        <w:tc>
          <w:tcPr>
            <w:tcW w:type="dxa" w:w="793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23044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Evidenza e decisione</w:t>
            </w:r>
          </w:p>
        </w:tc>
      </w:tr>
      <w:tr>
        <w:trPr>
          <w:cantSplit/>
        </w:trPr>
        <w:tc>
          <w:tcPr>
            <w:tcW w:type="dxa" w:w="228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Prima del pilota</w:t>
            </w:r>
          </w:p>
        </w:tc>
        <w:tc>
          <w:tcPr>
            <w:tcW w:type="dxa" w:w="793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La prova d’uscita fallisce: registri leggibili, ma configurazioni e permessi non ricostruibili. Il pilota non parte.</w:t>
            </w:r>
          </w:p>
        </w:tc>
      </w:tr>
      <w:tr>
        <w:trPr>
          <w:cantSplit/>
        </w:trPr>
        <w:tc>
          <w:tcPr>
            <w:tcW w:type="dxa" w:w="228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Seconda prova d’uscita</w:t>
            </w:r>
          </w:p>
        </w:tc>
        <w:tc>
          <w:tcPr>
            <w:tcW w:type="dxa" w:w="793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Il gruppo riapre un fascicolo in un ambiente separato, riassegna i permessi e continua senza il servizio principale.</w:t>
            </w:r>
          </w:p>
        </w:tc>
      </w:tr>
      <w:tr>
        <w:trPr>
          <w:cantSplit/>
        </w:trPr>
        <w:tc>
          <w:tcPr>
            <w:tcW w:type="dxa" w:w="228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Avvio</w:t>
            </w:r>
          </w:p>
        </w:tc>
        <w:tc>
          <w:tcPr>
            <w:tcW w:type="dxa" w:w="793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Decisione Limitare e provare: novanta giorni, prima in ombra e poi soltanto in modalità Propone; nessuna esecuzione autonoma.</w:t>
            </w:r>
          </w:p>
        </w:tc>
      </w:tr>
      <w:tr>
        <w:trPr>
          <w:cantSplit/>
        </w:trPr>
        <w:tc>
          <w:tcPr>
            <w:tcW w:type="dxa" w:w="228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Durante il pilota</w:t>
            </w:r>
          </w:p>
        </w:tc>
        <w:tc>
          <w:tcPr>
            <w:tcW w:type="dxa" w:w="793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Il sistema trova precedenti utili. Un errore plausibile riutilizza una clausola senza la limitazione concordata. Nessun contratto viene inviato.</w:t>
            </w:r>
          </w:p>
        </w:tc>
      </w:tr>
      <w:tr>
        <w:trPr>
          <w:cantSplit/>
        </w:trPr>
        <w:tc>
          <w:tcPr>
            <w:tcW w:type="dxa" w:w="228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15 ottobre 2050</w:t>
            </w:r>
          </w:p>
        </w:tc>
        <w:tc>
          <w:tcPr>
            <w:tcW w:type="dxa" w:w="793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Il beneficio netto resta modesto e irregolare dopo supervisione, formazione, apprendistato e uscita. Decisione Non delegare.</w:t>
            </w:r>
          </w:p>
        </w:tc>
      </w:tr>
      <w:tr>
        <w:trPr>
          <w:cantSplit/>
        </w:trPr>
        <w:tc>
          <w:tcPr>
            <w:tcW w:type="dxa" w:w="228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16 ottobre 2050</w:t>
            </w:r>
          </w:p>
        </w:tc>
        <w:tc>
          <w:tcPr>
            <w:tcW w:type="dxa" w:w="793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Il verbale registra anche il costo del no: offerte in coda, ore non fatturabili, saldo al fornitore e un cliente perso.</w:t>
            </w:r>
          </w:p>
        </w:tc>
      </w:tr>
      <w:tr>
        <w:trPr>
          <w:cantSplit/>
        </w:trPr>
        <w:tc>
          <w:tcPr>
            <w:tcW w:type="dxa" w:w="228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Chiusura</w:t>
            </w:r>
          </w:p>
        </w:tc>
        <w:tc>
          <w:tcPr>
            <w:tcW w:type="dxa" w:w="793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Esportazione finale, revoca degli accessi e riapertura casuale di un fascicolo senza assistenza del fornitore.</w:t>
            </w:r>
          </w:p>
        </w:tc>
      </w:tr>
      <w:tr>
        <w:trPr>
          <w:cantSplit/>
        </w:trPr>
        <w:tc>
          <w:tcPr>
            <w:tcW w:type="dxa" w:w="228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15 aprile 2051</w:t>
            </w:r>
          </w:p>
        </w:tc>
        <w:tc>
          <w:tcPr>
            <w:tcW w:type="dxa" w:w="793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Riapertura su una proposta più stretta: sola ricerca di precedenti, casi chiusi, ombra, nessun effetto esterno e possibilità di rispondere ancora no.</w:t>
            </w:r>
          </w:p>
        </w:tc>
      </w:tr>
    </w:tbl>
    <w:p>
      <w:pPr>
        <w:spacing w:after="0"/>
      </w:pPr>
    </w:p>
    <w:p>
      <w:pPr>
        <w:pStyle w:val="Heading1"/>
      </w:pPr>
      <w:r>
        <w:t>Verbale al 15 ottobre 2050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3201"/>
        <w:gridCol w:w="7023"/>
      </w:tblGrid>
      <w:tr>
        <w:trPr>
          <w:tblHeader w:val="true"/>
          <w:cantSplit/>
        </w:trPr>
        <w:tc>
          <w:tcPr>
            <w:tcW w:type="dxa" w:w="320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23044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Campo</w:t>
            </w:r>
          </w:p>
        </w:tc>
        <w:tc>
          <w:tcPr>
            <w:tcW w:type="dxa" w:w="702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23044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Verbale al 15 ottobre 2050</w:t>
            </w:r>
          </w:p>
        </w:tc>
      </w:tr>
      <w:tr>
        <w:trPr>
          <w:cantSplit/>
        </w:trPr>
        <w:tc>
          <w:tcPr>
            <w:tcW w:type="dxa" w:w="320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Sistema e decisione</w:t>
            </w:r>
          </w:p>
        </w:tc>
        <w:tc>
          <w:tcPr>
            <w:tcW w:type="dxa" w:w="702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Gemello operativo per la contrattualistica. Stabilire se adottarlo dopo un pilota di novanta giorni, prima in ombra e poi, se le prove reggono, in modalità Propone.</w:t>
            </w:r>
          </w:p>
        </w:tc>
      </w:tr>
      <w:tr>
        <w:trPr>
          <w:cantSplit/>
        </w:trPr>
        <w:tc>
          <w:tcPr>
            <w:tcW w:type="dxa" w:w="320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Contesto e persone esposte</w:t>
            </w:r>
          </w:p>
        </w:tc>
        <w:tc>
          <w:tcPr>
            <w:tcW w:type="dxa" w:w="702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Piccola impresa di Davide; responsabile della contrattualistica; collega più giovane in apprendistato; direttore commerciale; clienti e controparti vincolati dalle offerte.</w:t>
            </w:r>
          </w:p>
        </w:tc>
      </w:tr>
      <w:tr>
        <w:trPr>
          <w:cantSplit/>
        </w:trPr>
        <w:tc>
          <w:tcPr>
            <w:tcW w:type="dxa" w:w="320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Scopo - Sufficiente</w:t>
            </w:r>
          </w:p>
        </w:tc>
        <w:tc>
          <w:tcPr>
            <w:tcW w:type="dxa" w:w="702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Ridurre l’arretrato e il tempo di preparazione senza aumentare eccezioni mancate, correzioni tardive o impegni non compresi. L’alternativa organizzativa è valutata rispetto allo stesso bisogno.</w:t>
            </w:r>
          </w:p>
        </w:tc>
      </w:tr>
      <w:tr>
        <w:trPr>
          <w:cantSplit/>
        </w:trPr>
        <w:tc>
          <w:tcPr>
            <w:tcW w:type="dxa" w:w="320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Mandato - Sufficiente</w:t>
            </w:r>
          </w:p>
        </w:tc>
        <w:tc>
          <w:tcPr>
            <w:tcW w:type="dxa" w:w="702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Il gemello confronta precedenti, segnala scostamenti e formula alternative. Nessuna modalità Decide o Esegue: non invia né firma; turni, prezzi, personale e impegni contrattuali restano esclusi. Ogni supervisore segue al massimo dodici processi aperti, soglia di scenario da riesaminare sul carico reale.</w:t>
            </w:r>
          </w:p>
        </w:tc>
      </w:tr>
      <w:tr>
        <w:trPr>
          <w:cantSplit/>
        </w:trPr>
        <w:tc>
          <w:tcPr>
            <w:tcW w:type="dxa" w:w="320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Prova - Sufficiente</w:t>
            </w:r>
          </w:p>
        </w:tc>
        <w:tc>
          <w:tcPr>
            <w:tcW w:type="dxa" w:w="702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Casi chiusi comprendenti eccezioni costose, uso in ombra, successiva modalità Propone, incidente simulato e carico reale. Il sistema trova molti precedenti utili e commette un errore plausibile nel punto decisivo; il beneficio è reale, modesto e irregolare.</w:t>
            </w:r>
          </w:p>
        </w:tc>
      </w:tr>
      <w:tr>
        <w:trPr>
          <w:cantSplit/>
        </w:trPr>
        <w:tc>
          <w:tcPr>
            <w:tcW w:type="dxa" w:w="320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Distribuzione - Sufficiente</w:t>
            </w:r>
          </w:p>
        </w:tc>
        <w:tc>
          <w:tcPr>
            <w:tcW w:type="dxa" w:w="702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Il risparmio lordo è separato dalle ore degli esperti, dalla formazione, dall’apprendistato, dalle attese dei clienti e dal lavoro di uscita. La collega più giovane riceve tempo protetto per ricostruire i casi.</w:t>
            </w:r>
          </w:p>
        </w:tc>
      </w:tr>
      <w:tr>
        <w:trPr>
          <w:cantSplit/>
        </w:trPr>
        <w:tc>
          <w:tcPr>
            <w:tcW w:type="dxa" w:w="320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Danno - Sufficiente</w:t>
            </w:r>
          </w:p>
        </w:tc>
        <w:tc>
          <w:tcPr>
            <w:tcW w:type="dxa" w:w="702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Fallimento plausibile: una clausola omette una limitazione o trasferisce il rischio prima che fonte ed eccezione siano comprese. La firma lascia una finestra di controllo; non rende il danno trascurabile.</w:t>
            </w:r>
          </w:p>
        </w:tc>
      </w:tr>
      <w:tr>
        <w:trPr>
          <w:cantSplit/>
        </w:trPr>
        <w:tc>
          <w:tcPr>
            <w:tcW w:type="dxa" w:w="320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Ricorso - Sufficiente nel pilota</w:t>
            </w:r>
          </w:p>
        </w:tc>
        <w:tc>
          <w:tcPr>
            <w:tcW w:type="dxa" w:w="702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Nessun effetto esterno è automatico. La responsabile può riaprire, modificare, bloccare e sospendere; gli interventi restano registrati. Il dissenso del direttore commerciale è conservato nel verbale, ma non sostituisce il Ricorso della controparte.</w:t>
            </w:r>
          </w:p>
        </w:tc>
      </w:tr>
      <w:tr>
        <w:trPr>
          <w:cantSplit/>
        </w:trPr>
        <w:tc>
          <w:tcPr>
            <w:tcW w:type="dxa" w:w="320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Uscita - Bloccante, poi Sufficiente</w:t>
            </w:r>
          </w:p>
        </w:tc>
        <w:tc>
          <w:tcPr>
            <w:tcW w:type="dxa" w:w="702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La prima esportazione non ricostruisce configurazioni e permessi: il pilota non parte. Nel secondo test il team riapre un fascicolo in un ambiente separato e continua senza il servizio principale. Alla chiusura esporta registri e configurazioni, riapre un fascicolo casuale senza assistenza del fornitore e revoca gli accessi.</w:t>
            </w:r>
          </w:p>
        </w:tc>
      </w:tr>
      <w:tr>
        <w:trPr>
          <w:cantSplit/>
        </w:trPr>
        <w:tc>
          <w:tcPr>
            <w:tcW w:type="dxa" w:w="320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Decisione provvisoria</w:t>
            </w:r>
          </w:p>
        </w:tc>
        <w:tc>
          <w:tcPr>
            <w:tcW w:type="dxa" w:w="702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Limitare e provare: novanta giorni, prima in ombra e poi in modalità Propone; nessuna esecuzione autonoma; supervisione, controllo e apprendistato entrano nel conto del beneficio.</w:t>
            </w:r>
          </w:p>
        </w:tc>
      </w:tr>
      <w:tr>
        <w:trPr>
          <w:cantSplit/>
        </w:trPr>
        <w:tc>
          <w:tcPr>
            <w:tcW w:type="dxa" w:w="320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Monitoraggio</w:t>
            </w:r>
          </w:p>
        </w:tc>
        <w:tc>
          <w:tcPr>
            <w:tcW w:type="dxa" w:w="702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Il team registra tempi migliorati, eccezioni, interventi, ore esperte e ricostruzione dell’origine. Il sistema resta tecnicamente competente; quando la supervisione viene svolta davvero, il vantaggio netto non sostiene quel processo e quel volume.</w:t>
            </w:r>
          </w:p>
        </w:tc>
      </w:tr>
      <w:tr>
        <w:trPr>
          <w:cantSplit/>
        </w:trPr>
        <w:tc>
          <w:tcPr>
            <w:tcW w:type="dxa" w:w="320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Decisione finale - 15 ottobre 2050</w:t>
            </w:r>
          </w:p>
        </w:tc>
        <w:tc>
          <w:tcPr>
            <w:tcW w:type="dxa" w:w="702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Non delegare. Non rinnovare neppure la modalità Propone, attivare l’uscita e mantenere un’alternativa. Davide firma e assume una scelta che rinuncia a un beneficio reale.</w:t>
            </w:r>
          </w:p>
        </w:tc>
      </w:tr>
      <w:tr>
        <w:trPr>
          <w:cantSplit/>
        </w:trPr>
        <w:tc>
          <w:tcPr>
            <w:tcW w:type="dxa" w:w="320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Alternativa mantenuta</w:t>
            </w:r>
          </w:p>
        </w:tc>
        <w:tc>
          <w:tcPr>
            <w:tcW w:type="dxa" w:w="702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Raccolta di clausole approvate, eccezioni indicate all’apertura, coinvolgimento anticipato della persona esperta e ore protette per ricostruire i casi.</w:t>
            </w:r>
          </w:p>
        </w:tc>
      </w:tr>
      <w:tr>
        <w:trPr>
          <w:cantSplit/>
        </w:trPr>
        <w:tc>
          <w:tcPr>
            <w:tcW w:type="dxa" w:w="320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Costo del no</w:t>
            </w:r>
          </w:p>
        </w:tc>
        <w:tc>
          <w:tcPr>
            <w:tcW w:type="dxa" w:w="702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Offerte in coda, ore non fatturabili, saldo al fornitore, margine inferiore e un cliente perso. L’impresa conserva però fascicoli leggibili e una competenza più distribuita.</w:t>
            </w:r>
          </w:p>
        </w:tc>
      </w:tr>
      <w:tr>
        <w:trPr>
          <w:cantSplit/>
        </w:trPr>
        <w:tc>
          <w:tcPr>
            <w:tcW w:type="dxa" w:w="320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Responsabile e riesame</w:t>
            </w:r>
          </w:p>
        </w:tc>
        <w:tc>
          <w:tcPr>
            <w:tcW w:type="dxa" w:w="702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Davide. Verbale di chiusura del 16 ottobre 2050; riesame fissato al 15 aprile 2051.</w:t>
            </w:r>
          </w:p>
        </w:tc>
      </w:tr>
    </w:tbl>
    <w:p>
      <w:pPr>
        <w:spacing w:after="0"/>
      </w:pPr>
    </w:p>
    <w:p>
      <w:pPr>
        <w:pStyle w:val="Heading1"/>
      </w:pPr>
      <w:r>
        <w:t>Riapertura: 15 aprile 2051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8"/>
        </w:rPr>
        <w:t>Sei mesi dopo il no viene riesaminato senza essere cancellato. La proposta è nuova e più stretta; la prova resta separata dall’acquisto e conserva la possibilità concreta di rispondere ancora no.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2994"/>
        <w:gridCol w:w="7230"/>
      </w:tblGrid>
      <w:tr>
        <w:trPr>
          <w:tblHeader w:val="true"/>
          <w:cantSplit/>
        </w:trPr>
        <w:tc>
          <w:tcPr>
            <w:tcW w:type="dxa" w:w="299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23044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Campo</w:t>
            </w:r>
          </w:p>
        </w:tc>
        <w:tc>
          <w:tcPr>
            <w:tcW w:type="dxa" w:w="723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23044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Riapertura del 15 aprile 2051</w:t>
            </w:r>
          </w:p>
        </w:tc>
      </w:tr>
      <w:tr>
        <w:trPr>
          <w:cantSplit/>
        </w:trPr>
        <w:tc>
          <w:tcPr>
            <w:tcW w:type="dxa" w:w="299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Nuova proposta</w:t>
            </w:r>
          </w:p>
        </w:tc>
        <w:tc>
          <w:tcPr>
            <w:tcW w:type="dxa" w:w="723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Ricerca dei precedenti senza generare offerte, costo minore e nessun accesso ai fascicoli aperti.</w:t>
            </w:r>
          </w:p>
        </w:tc>
      </w:tr>
      <w:tr>
        <w:trPr>
          <w:cantSplit/>
        </w:trPr>
        <w:tc>
          <w:tcPr>
            <w:tcW w:type="dxa" w:w="299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Perimetro della prova</w:t>
            </w:r>
          </w:p>
        </w:tc>
        <w:tc>
          <w:tcPr>
            <w:tcW w:type="dxa" w:w="723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Nuova prova in ombra su casi chiusi; nessun acquisto autorizzato e nessun effetto esterno.</w:t>
            </w:r>
          </w:p>
        </w:tc>
      </w:tr>
      <w:tr>
        <w:trPr>
          <w:cantSplit/>
        </w:trPr>
        <w:tc>
          <w:tcPr>
            <w:tcW w:type="dxa" w:w="299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Evidenze e costi</w:t>
            </w:r>
          </w:p>
        </w:tc>
        <w:tc>
          <w:tcPr>
            <w:tcW w:type="dxa" w:w="723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Attese, correzioni tardive, margine, ore degli esperti, controllo, formazione e apprendistato restano nello stesso conto.</w:t>
            </w:r>
          </w:p>
        </w:tc>
      </w:tr>
      <w:tr>
        <w:trPr>
          <w:cantSplit/>
        </w:trPr>
        <w:tc>
          <w:tcPr>
            <w:tcW w:type="dxa" w:w="299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Soglia e arresto</w:t>
            </w:r>
          </w:p>
        </w:tc>
        <w:tc>
          <w:tcPr>
            <w:tcW w:type="dxa" w:w="723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Criterio di successo, responsabile e autorità d’arresto vengono fissati prima dell’avvio; la prova può essere fermata senza comprare il sistema.</w:t>
            </w:r>
          </w:p>
        </w:tc>
      </w:tr>
      <w:tr>
        <w:trPr>
          <w:cantSplit/>
        </w:trPr>
        <w:tc>
          <w:tcPr>
            <w:tcW w:type="dxa" w:w="299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Decisione</w:t>
            </w:r>
          </w:p>
        </w:tc>
        <w:tc>
          <w:tcPr>
            <w:tcW w:type="dxa" w:w="723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Riaprire il confronto non revoca il primo no. Al termine restano disponibili Non delegare e la possibilità concreta di rispondere ancora no.</w:t>
            </w:r>
          </w:p>
        </w:tc>
      </w:tr>
    </w:tbl>
    <w:p>
      <w:pPr>
        <w:spacing w:after="0"/>
      </w:pPr>
    </w:p>
    <w:p>
      <w:pPr>
        <w:pStyle w:val="Heading1"/>
      </w:pPr>
      <w:r>
        <w:t>Criterio trasferibile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50" w:type="dxa"/>
        <w:tblBorders>
          <w:top w:val="single" w:sz="7" w:space="0" w:color="B54B2A"/>
          <w:left w:val="single" w:sz="7" w:space="0" w:color="B54B2A"/>
          <w:bottom w:val="single" w:sz="7" w:space="0" w:color="B54B2A"/>
          <w:right w:val="single" w:sz="7" w:space="0" w:color="B54B2A"/>
          <w:insideH w:val="single" w:sz="7" w:space="0" w:color="B54B2A"/>
          <w:insideV w:val="single" w:sz="7" w:space="0" w:color="B54B2A"/>
        </w:tblBorders>
      </w:tblPr>
      <w:tblGrid>
        <w:gridCol w:w="10224"/>
      </w:tblGrid>
      <w:tr>
        <w:trPr>
          <w:cantSplit/>
        </w:trPr>
        <w:tc>
          <w:tcPr>
            <w:tcW w:type="dxa" w:w="10224"/>
            <w:shd w:fill="F7E7E0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>
              <w:rPr>
                <w:rFonts w:ascii="DejaVu Sans" w:hAnsi="DejaVu Sans" w:eastAsia="DejaVu Sans"/>
                <w:b/>
                <w:color w:val="B54B2A"/>
                <w:sz w:val="17"/>
              </w:rPr>
              <w:t xml:space="preserve">IL PUNTO DEL CASO  </w:t>
            </w:r>
            <w:r>
              <w:rPr>
                <w:rFonts w:ascii="DejaVu Sans" w:hAnsi="DejaVu Sans" w:eastAsia="DejaVu Sans"/>
                <w:color w:val="1E2528"/>
                <w:sz w:val="18"/>
              </w:rPr>
              <w:t>Non delegare non significa dichiarare inutile il prodotto. Significa rifiutare quel potere, in quel processo e in quel momento, quando il beneficio residuo non sostiene supervisione, dipendenza e uscita e quando esiste un’alternativa organizzativa migliore. Il no resta motivato, costoso e riapribile.</w:t>
            </w:r>
          </w:p>
        </w:tc>
      </w:tr>
    </w:tbl>
    <w:p>
      <w:pPr>
        <w:spacing w:after="0"/>
      </w:pPr>
    </w:p>
    <w:p>
      <w:pPr>
        <w:pStyle w:val="Heading2"/>
      </w:pPr>
      <w:r>
        <w:t>Domande per trasferire il caso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4883"/>
        <w:gridCol w:w="5341"/>
      </w:tblGrid>
      <w:tr>
        <w:trPr>
          <w:tblHeader w:val="true"/>
          <w:cantSplit/>
        </w:trPr>
        <w:tc>
          <w:tcPr>
            <w:tcW w:type="dxa" w:w="488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23044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Domanda</w:t>
            </w:r>
          </w:p>
        </w:tc>
        <w:tc>
          <w:tcPr>
            <w:tcW w:type="dxa" w:w="53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23044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Evidenza da cercare nel proprio contesto</w:t>
            </w:r>
          </w:p>
        </w:tc>
      </w:tr>
      <w:tr>
        <w:trPr>
          <w:cantSplit/>
          <w:trHeight w:val="520" w:hRule="atLeast"/>
        </w:trPr>
        <w:tc>
          <w:tcPr>
            <w:tcW w:type="dxa" w:w="488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Il criterio di successo misura il bisogno o soltanto il volume prodotto?</w:t>
            </w:r>
          </w:p>
        </w:tc>
        <w:tc>
          <w:tcPr>
            <w:tcW w:type="dxa" w:w="53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</w:r>
          </w:p>
        </w:tc>
      </w:tr>
      <w:tr>
        <w:trPr>
          <w:cantSplit/>
          <w:trHeight w:val="520" w:hRule="atLeast"/>
        </w:trPr>
        <w:tc>
          <w:tcPr>
            <w:tcW w:type="dxa" w:w="488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Quale potere deve restare in modalità Assiste o Propone?</w:t>
            </w:r>
          </w:p>
        </w:tc>
        <w:tc>
          <w:tcPr>
            <w:tcW w:type="dxa" w:w="53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</w:r>
          </w:p>
        </w:tc>
      </w:tr>
      <w:tr>
        <w:trPr>
          <w:cantSplit/>
          <w:trHeight w:val="520" w:hRule="atLeast"/>
        </w:trPr>
        <w:tc>
          <w:tcPr>
            <w:tcW w:type="dxa" w:w="488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Chi paga supervisione, formazione, attesa e uscita?</w:t>
            </w:r>
          </w:p>
        </w:tc>
        <w:tc>
          <w:tcPr>
            <w:tcW w:type="dxa" w:w="53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</w:r>
          </w:p>
        </w:tc>
      </w:tr>
      <w:tr>
        <w:trPr>
          <w:cantSplit/>
          <w:trHeight w:val="520" w:hRule="atLeast"/>
        </w:trPr>
        <w:tc>
          <w:tcPr>
            <w:tcW w:type="dxa" w:w="488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Quale errore plausibile è elegante, convincente e sbagliato nel punto decisivo?</w:t>
            </w:r>
          </w:p>
        </w:tc>
        <w:tc>
          <w:tcPr>
            <w:tcW w:type="dxa" w:w="53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</w:r>
          </w:p>
        </w:tc>
      </w:tr>
      <w:tr>
        <w:trPr>
          <w:cantSplit/>
          <w:trHeight w:val="520" w:hRule="atLeast"/>
        </w:trPr>
        <w:tc>
          <w:tcPr>
            <w:tcW w:type="dxa" w:w="488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La prova d’uscita ricostruisce anche configurazioni e permessi?</w:t>
            </w:r>
          </w:p>
        </w:tc>
        <w:tc>
          <w:tcPr>
            <w:tcW w:type="dxa" w:w="53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</w:r>
          </w:p>
        </w:tc>
      </w:tr>
      <w:tr>
        <w:trPr>
          <w:cantSplit/>
          <w:trHeight w:val="520" w:hRule="atLeast"/>
        </w:trPr>
        <w:tc>
          <w:tcPr>
            <w:tcW w:type="dxa" w:w="488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Quale alternativa organizzativa affronta lo stesso bisogno?</w:t>
            </w:r>
          </w:p>
        </w:tc>
        <w:tc>
          <w:tcPr>
            <w:tcW w:type="dxa" w:w="53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</w:r>
          </w:p>
        </w:tc>
      </w:tr>
      <w:tr>
        <w:trPr>
          <w:cantSplit/>
          <w:trHeight w:val="520" w:hRule="atLeast"/>
        </w:trPr>
        <w:tc>
          <w:tcPr>
            <w:tcW w:type="dxa" w:w="488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Quale cambiamento giustificherebbe una riapertura senza cancellare il primo no?</w:t>
            </w:r>
          </w:p>
        </w:tc>
        <w:tc>
          <w:tcPr>
            <w:tcW w:type="dxa" w:w="53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</w:r>
          </w:p>
        </w:tc>
      </w:tr>
    </w:tbl>
    <w:p>
      <w:pPr>
        <w:spacing w:after="0"/>
      </w:pPr>
    </w:p>
    <w:sectPr>
      <w:headerReference w:type="default" r:id="rId9"/>
      <w:footerReference w:type="default" r:id="rId10"/>
      <w:footerReference w:type="first" r:id="rId11"/>
      <w:headerReference w:type="first" r:id="rId14"/>
      <w:pgSz w:w="12240" w:h="15840"/>
      <w:pgMar w:top="1008" w:right="1008" w:bottom="1008" w:left="1008" w:header="432" w:footer="432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152" w:val="left"/>
      </w:tabs>
      <w:spacing w:before="0" w:after="0"/>
    </w:pPr>
    <w:r>
      <w:rPr>
        <w:rFonts w:ascii="DejaVu Sans" w:hAnsi="DejaVu Sans" w:eastAsia="DejaVu Sans"/>
        <w:color w:val="5D6870"/>
        <w:sz w:val="14"/>
      </w:rPr>
      <w:t>2050 - IT-R1 - Edizione italiana - luglio 2026</w:t>
    </w:r>
    <w:r>
      <w:tab/>
    </w:r>
    <w:r>
      <w:rPr>
        <w:rFonts w:ascii="DejaVu Sans" w:hAnsi="DejaVu Sans" w:eastAsia="DejaVu Sans"/>
        <w:color w:val="5D6870"/>
        <w:sz w:val="16"/>
      </w:rPr>
      <w:fldChar w:fldCharType="begin"/>
      <w:instrText xml:space="preserve"> PAGE </w:instrText>
      <w:fldChar w:fldCharType="separate"/>
      <w:t>1</w: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DejaVu Sans" w:hAnsi="DejaVu Sans" w:eastAsia="DejaVu Sans"/>
        <w:color w:val="5D6870"/>
        <w:sz w:val="15"/>
      </w:rPr>
      <w:t>https://www.corneritaliano.com/2050/risorse/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DejaVu Sans" w:hAnsi="DejaVu Sans" w:eastAsia="DejaVu Sans"/>
        <w:b/>
        <w:color w:val="B54B2A"/>
        <w:sz w:val="15"/>
      </w:rPr>
      <w:t xml:space="preserve">2050  |  RISORSE UFFICIALI  |  </w:t>
    </w:r>
    <w:r>
      <w:rPr>
        <w:rFonts w:ascii="DejaVu Sans" w:hAnsi="DejaVu Sans" w:eastAsia="DejaVu Sans"/>
        <w:color w:val="5D6870"/>
        <w:sz w:val="15"/>
      </w:rPr>
      <w:t>Caso Davide - verbale completo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100" w:line="283" w:lineRule="auto"/>
    </w:pPr>
    <w:rPr>
      <w:rFonts w:ascii="DejaVu Sans" w:hAnsi="DejaVu Sans"/>
      <w:color w:val="1E252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23044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B54B2A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80" w:after="80"/>
      <w:outlineLvl w:val="2"/>
    </w:pPr>
    <w:rPr>
      <w:rFonts w:asciiTheme="majorHAnsi" w:eastAsiaTheme="majorEastAsia" w:hAnsiTheme="majorHAnsi" w:cstheme="majorBidi" w:ascii="DejaVu Sans" w:hAnsi="DejaVu Sans"/>
      <w:b/>
      <w:bCs/>
      <w:color w:val="234C61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DejaVu Sans" w:hAnsi="DejaVu Sans"/>
      <w:b/>
      <w:color w:val="123044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40"/>
    </w:pPr>
    <w:rPr>
      <w:rFonts w:asciiTheme="majorHAnsi" w:eastAsiaTheme="majorEastAsia" w:hAnsiTheme="majorHAnsi" w:cstheme="majorBidi" w:ascii="DejaVu Sans" w:hAnsi="DejaVu Sans"/>
      <w:b w:val="0"/>
      <w:i/>
      <w:iCs/>
      <w:color w:val="5D6870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image" Target="media/image1.png"/><Relationship Id="rId13" Type="http://schemas.openxmlformats.org/officeDocument/2006/relationships/hyperlink" Target="https://www.corneritaliano.com/2050/risorse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Caso Davide - verbale completo</dc:title>
  <dc:subject>Risorsa ufficiale del libro 2050</dc:subject>
  <dc:creator/>
  <cp:keywords>2050, intelligenza artificiale, Test del 2050, risorse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