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/>
        <w:jc w:val="center"/>
      </w:pPr>
      <w:r>
        <w:drawing>
          <wp:inline xmlns:a="http://schemas.openxmlformats.org/drawingml/2006/main" xmlns:pic="http://schemas.openxmlformats.org/drawingml/2006/picture">
            <wp:extent cx="1508760" cy="1005840"/>
            <wp:docPr id="1" name="Picture 1" descr="Logo editoriale Corner Italiano" title="Corner Italian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ner-italiano-log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005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20" w:after="16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CORNER ITALIANO  |  RISORSE UFFICIALI</w:t>
      </w:r>
    </w:p>
    <w:p>
      <w:pPr>
        <w:pStyle w:val="Title"/>
        <w:jc w:val="center"/>
      </w:pPr>
      <w:r>
        <w:rPr>
          <w:rFonts w:ascii="DejaVu Sans" w:hAnsi="DejaVu Sans" w:eastAsia="DejaVu Sans"/>
          <w:b/>
          <w:color w:val="123044"/>
          <w:sz w:val="56"/>
        </w:rPr>
        <w:t>Glossario integrale</w:t>
      </w:r>
    </w:p>
    <w:p>
      <w:pPr>
        <w:pStyle w:val="Subtitle"/>
        <w:jc w:val="center"/>
      </w:pPr>
      <w:r>
        <w:rPr>
          <w:rFonts w:ascii="DejaVu Sans" w:hAnsi="DejaVu Sans" w:eastAsia="DejaVu Sans"/>
          <w:color w:val="5D6870"/>
          <w:sz w:val="25"/>
        </w:rPr>
        <w:t>Termini tecnici, concetti operativi e proposte originali del libro</w:t>
      </w:r>
    </w:p>
    <w:p>
      <w:pPr>
        <w:spacing w:before="44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GUIDA DI CONSULTAZIONE</w:t>
      </w:r>
    </w:p>
    <w:p>
      <w:pPr>
        <w:jc w:val="center"/>
      </w:pPr>
      <w:r>
        <w:rPr>
          <w:rFonts w:ascii="DejaVu Sans" w:hAnsi="DejaVu Sans" w:eastAsia="DejaVu Sans"/>
          <w:color w:val="234C61"/>
          <w:sz w:val="19"/>
        </w:rPr>
        <w:t>Edizione italiana - luglio 2026</w:t>
      </w:r>
    </w:p>
    <w:p>
      <w:pPr>
        <w:spacing w:before="360"/>
        <w:jc w:val="center"/>
      </w:pPr>
      <w:hyperlink r:id="rId13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https://www.corneritaliano.com/2050/risorse/</w:t>
        </w:r>
      </w:hyperlink>
    </w:p>
    <w:p>
      <w:r>
        <w:br w:type="page"/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10224"/>
      </w:tblGrid>
      <w:tr>
        <w:trPr>
          <w:cantSplit/>
        </w:trPr>
        <w:tc>
          <w:tcPr>
            <w:tcW w:type="dxa" w:w="10224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AMBITO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Una guida ai termini tecnici usati nel libro, spiegati per ciò che cambiano nella vita quotidiana. Le definizioni non sostituiscono standard, norme o manuali specialistici: chiariscono il significato con cui le parole vengono impiegate in queste pagine.</w:t>
            </w:r>
          </w:p>
        </w:tc>
      </w:tr>
    </w:tbl>
    <w:p>
      <w:pPr>
        <w:spacing w:after="0"/>
      </w:pP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Intelligenza artificiale (IA)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Insieme di tecniche che consentono a un sistema di svolgere compiti associati a capacità umane, come riconoscere, prevedere, tradurre, raccomandare o generare. Una prestazione convincente non dimostra da sola coscienza, esperienza o comprensione.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Apprendimento automatico (machine learning)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Approccio in cui un modello modifica i propri parametri a partire da esempi, invece di ricevere soltanto regole scritte una per una. Ciò che apprende dipende dal problema formulato, dai dati e dai criteri con cui viene valutato.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Apprendimento profondo e reti neurali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Una rete neurale è una struttura matematica di unità collegate e parametri modificabili durante l’addestramento. L’apprendimento profondo usa reti a più strati per costruire rappresentazioni utili di immagini, voce, linguaggio e altri segnali. Il nome richiama il cervello, ma non indica un piccolo cervello nascosto nel computer.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Transformer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Architettura divenuta influente con il lavoro «Attention Is All You Need» del 2017. Usa meccanismi di auto-attenzione per pesare le relazioni fra le posizioni di una sequenza e permette di elaborarne molte in parallelo durante l’addestramento. Non «legge» un testo come una persona.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Modello linguistico di grandi dimensioni (LLM)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Modello neurale addestrato su grandi raccolte di testo per stimare quali token possano seguire un dato contesto disponibile. Nella generazione non sceglie necessariamente ogni volta l’alternativa più probabile: incidono istruzioni, contesto, metodo di selezione e fasi ulteriori di addestramento. La fluidità non garantisce verità o comprensione.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Token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Unità convenzionale in cui un modello suddivide il testo: può coincidere con una parola, una parte di parola, un segno di punteggiatura o un’altra porzione. In questo libro il termine è usato soltanto in senso linguistico.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Dati di addestramento e dataset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Un dataset è una raccolta organizzata per analisi, addestramento o valutazione; i dati di addestramento sono gli esempi usati per modificare i parametri di un modello. Copertura, provenienza, etichette e assenze dipendono da scelte su che cosa osservare, includere ed escludere e influenzano capacità ed errori.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Allucinazione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Risposta plausibile ma falsa o non sostenuta, prodotta con la stessa fluidità di un’informazione corretta. È un termine d’uso, non l’indicazione che il sistema viva un’esperienza percettiva.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Algoritmo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Procedura composta da passi o regole per trasformare dati e ottenere un risultato. Anche quando è formalizzato, incorpora scelte su obiettivi, categorie, soglie ed eccezioni.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Bias algoritmico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Distorsione sistematica che può derivare dai dati, dalle etichette, dall’obiettivo o dal contesto d’uso e produrre effetti diseguali fra persone o gruppi.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Profilazione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Trattamento di dati volto a valutare o prevedere aspetti di una persona, come preferenze, comportamento, affidabilità o rischio. La sua liceità e i suoi limiti dipendono dal contesto e dalle norme applicabili.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Sorveglianza predittiva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Uso di dati e modelli per anticipare comportamenti o rischi e orientare controlli o interventi. Può trasformare una previsione in trattamento presente della persona e richiede limiti, verifica e contestabilità.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Intervallo non misurato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Spazio temporaneo in cui una persona può esitare, contraddirsi o cambiare senza che ogni variazione produca subito un profilo operativo. Non è assenza assoluta di tecnologia né garanzia di libertà: una raccolta continua richiede un danno definito, uno scopo proporzionato e una scadenza verificabile.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Registro distribuito o blockchain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Un registro distribuito conserva uno stato condiviso fra più soggetti; una blockchain ne è una possibile struttura. Può aiutare organizzazioni indipendenti a coordinarsi senza un unico gestore, ma non rende veri i dati inseriti, non elimina la fiducia e non è necessaria per identità digitale, credenziali verificabili o divulgazione selettiva.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Credenziale verificabile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Attestazione composta da attributi pertinenti, rilasciata da un emittente responsabile e protetta perché un verificatore possa controllarne provenienza e integrità. La verifica tecnica non rende vero un fatto falso: contano qualità dell’emittente, procedure, stato della credenziale e possibilità di correggere o revocare.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Divulgazione selettiva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Presentazione soltanto degli attributi necessari contenuti in una credenziale, lasciando nascosti gli altri. Riduce l’eccesso di informazioni, ma non garantisce da sola anonimato o impossibilità di collegare interazioni diverse.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Prova a conoscenza zero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Prova crittografica che consente di dimostrare il possesso di un’informazione o il rispetto di una condizione senza rivelare il dato sottostante. È utile in alcuni contesti, ma non sostituisce una buona architettura di privacy e responsabilità.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Portafoglio digitale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Strumento con cui una persona può conservare, presentare e gestire credenziali o attributi digitali. Deve prevedere sicurezza, accessibilità, recupero, revoca, delega e possibilità di assistenza; il controllo della persona non può diventare abbandono.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Identità digitale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Insieme di mezzi e attributi con cui una persona o un’organizzazione viene riconosciuta nei sistemi. Non coincide con l’intera persona né con un singolo account. Identificazione, autenticazione e autorizzazione rispondono a domande diverse.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Autenticazione e autorizzazione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L’autenticazione verifica i fattori associati a un’identità dichiarata, per esempio una credenziale, un dispositivo o più fattori combinati. L’autorizzazione stabilisce che cosa quel soggetto o sistema può fare nel contesto. Superare la prima non conferisce automaticamente la seconda.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Interoperabilità e portabilità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L’interoperabilità permette a sistemi diversi di scambiare dati e riconoscere funzioni o attestazioni secondo regole comuni. La portabilità mantiene dati, identità, permessi, configurazioni e registri utilizzabili fuori dall’ambiente principale; è incompleta senza recupero, revoca, assistenza e delega delimitata. Nessuna delle due garantisce da sola continuità.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Minimizzazione dei dati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Principio del GDPR secondo cui i dati personali devono essere adeguati, pertinenti e limitati a quanto necessario rispetto alle finalità del trattamento.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Minimizzazione della prova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Proposta progettuale del libro: dimostrare soltanto ciò che serve a una decisione, senza consegnare l’intera biografia della persona. Estende la logica della proporzione alla progettazione delle verifiche digitali. Vedi anche: Credenziale verificabile; Divulgazione selettiva; Test del 2050.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Cloud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Insieme di risorse informatiche remote usate per ospitare dati e servizi. La parola suggerisce leggerezza, ma il cloud dipende da edifici, reti, contratti, giurisdizioni, competenze ed energia.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Data center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Struttura fisica che ospita server, reti, sistemi di raffreddamento e continuità elettrica. È una parte materiale, territoriale e organizzativa dell’infrastruttura digitale.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API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Interfaccia di programmazione che stabilisce come due sistemi software possono richiedersi reciprocamente dati o azioni. Le API rendono possibile l’integrazione e, nello stesso tempo, creano dipendenze tecniche ed economiche.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Internet delle cose (IoT)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Rete di oggetti fisici dotati di sensori, software e connessione, capaci di raccogliere dati o ricevere istruzioni: dispositivi medici, contatori, veicoli, semafori, elettrodomestici e molti altri.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Deepfake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Immagine, audio o video sintetico che imita in modo convincente una persona reale. Provenienza e trasformazioni possono aiutare la verifica, ma nessun singolo segnale tecnico stabilisce da solo tutta la verità.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Fatica epistemica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Condizione in cui il costo di ricostruire una conclusione cresce fino a indurre una persona a sospendere un giudizio rivedibile o a rinunciare a partecipare. Non coincide con credulità o disinteresse: dipende anche da interfacce, accesso alle fonti, tempo e capacità delle istituzioni di rendere praticabile la verifica.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Gemello digitale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Rappresentazione computazionale di un oggetto, un processo o un sistema, aggiornata con dati per osservarne o simularne possibili stati. Non implica necessariamente un agente capace di agire in nome di una persona.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Gemello operativo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Proposta del libro: agente software legato a un titolare e a un Mandato osservabile. Opera in modalità Assiste, Propone, Decide o Esegue soltanto entro compiti, dati, durata, soglie e autorità d’arresto dichiarati. Quando funziona come gemello-maestro, rende visibili passaggi, errori e alternative perché la competenza cresca e il bisogno dell’aiuto possa diminuire. Capacità, affidabilità e autorità restano distinte.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Test del 2050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Metodo decisionale non compensatorio proposto dal libro. Organizza, in quest’ordine, Scopo / Mandato / Prova / Distribuzione / Danno / Ricorso / Uscita. Ogni risposta riceve uno stato dell’evidenza - Sufficiente / Irrisolta / Bloccante - e conduce a una decisione organizzativa - Procedere / Limitare e provare / Non delegare / Interrompere. Non assegna un punteggio né certifica un prodotto: una condizione Bloccante non è compensata dagli altri benefici.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Mandato operativo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Perimetro scritto che collega un titolare a una modalità - Assiste / Propone / Decide / Esegue - e precisa compiti, dati, persone interessate, luoghi, durata, volume, registri, soglie, azioni vietate e autorità d’arresto. Se cambiano modello, dati, fornitore, scala, compito o responsabili, il Mandato va ristretto o riesaminato; non coincide con la capacità tecnica.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Sovranità tecnologica, dipendenza strategica e voce infrastrutturale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La sovranità è capacità relativa di comprendere, scegliere, negoziare e sostituire dipendenze, non autarchia. Una dipendenza diventa strategica quando riduce una capacità prima che esista un’altra via pratica. La voce infrastrutturale è il potere concreto di nominare il danno, sospendere, correggere, esportare e sostituire, non una consultazione senza conseguenza.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Diritto alla cancellazione, detto anche diritto all’oblio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Nel GDPR, diritto a ottenere la cancellazione dei dati personali quando ricorrono le condizioni previste, con limiti ed eccezioni. Il GDPR non si applica ai dati delle persone decedute e le discipline nazionali differiscono. La direttiva digitale post mortem - consenso espresso, perimetro, revoca in vita e spegnimento - è una proposta del libro, non un diritto uniforme già vigente.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Archivio autentico, memoriale, simulazione post mortem e impersonazione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L’archivio conserva tracce originali; il memoriale le organizza senza parlare come il defunto; la simulazione generativa produce risposte o rappresentazioni nuove a partire dai dati; l’impersonazione le presenta in modo ingannevole come provenienti dalla persona reale. Possesso dei file, parentela o pagamento non equivalgono al Mandato a generare una voce in prima persona.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Comprensibilità verificata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Capacità di una persona o di un organismo indipendente di ricostruire perché un sistema ha prodotto un esito, provarlo su un caso ordinario e uno limite e usare quella verifica prima della conseguenza. Non coincide con una spiegazione generica o un fascicolo formalmente completo: se non può cambiare o fermare l’esito, il Mandato deve restringersi.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Opacità strutturale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Forma di opacità che compare quando molti componenti, aggiornamenti, agenti e organizzazioni si combinano in modo che nessun attore possieda il quadro in tempo per controllare l’esito. Aprire il codice può aiutare senza risolverla. Vedi anche: Comprensibilità verificata; Tempo al danno e finestra di controllo; Bilancio della supervisione.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Capacità, affidabilità e autorità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Tre domande diverse: che cosa un sistema sa fare, con quale regolarità lo fa nelle condizioni reali e che cosa gli è consentito fare in nome di qualcuno. Capacità e affidabilità non creano da sole autorità, né impongono l’adozione o la delega integrale.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Supervisione umana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È sostanziale soltanto quando una persona identificabile dispone di evidenza leggibile, tempo, competenza e autorità per modificare o fermare l’azione, e quando passaggio, motivazione e controllo successivo restano registrati. La presenza o firma formale di un operatore non basta.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Ricorso sostanziale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Possibilità concreta di ricevere una notifica comprensibile, conoscere e correggere gli elementi pertinenti e raggiungere senza ostacoli un ufficio capace di sospendere l’effetto, riaprire il caso e comunicare un esito motivato entro tempi compatibili con il danno.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Danno residuo e fascicolo operativo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Un’applicazione onesta del Test non promette danno zero. Il fascicolo mantiene valore quando distingue fonti originarie, annotazioni umane e sintesi generate, ammette ciò che non è ricostruibile e collega evidenze, riparazioni e restrizioni. Serve a imparare e correggere, non a dichiarare perfetto il controllo.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Tempo al danno e finestra di controllo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Il tempo al danno separa l’errore dalla conseguenza; la finestra di controllo è il tempo realmente utilizzabile per riconoscere, ricostruire e intervenire. La supervisione è sostanziale soltanto se le operazioni necessarie rientrano in quella finestra; altrimenti diventa nominale.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Bilancio della supervisione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Rapporto fra il volume e la velocità delle decisioni da controllare e le risorse umane disponibili per farlo con attenzione. Quando il carico supera stabilmente la capacità di verifica, l’intervento umano diventa una firma tardiva. Vedi anche: Supervisione umana; Comprensibilità verificata; Modalità degradata.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Continuità, modalità degradata e competenza residua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La continuità preserva una funzione essenziale, registrando anche i costi trasferiti a utenti e personale. La modalità degradata offre un servizio deliberatamente più stretto, con limiti dichiarati, durante il guasto. La competenza residua è il sapere e l’autorità locali necessari per attivarlo, gestire eccezioni e riconciliare il lavoro al ritorno del sistema.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Prova d’uscita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Verifica pratica, prima dell’adozione e poi periodica, che dati, registri, configurazioni e permessi possano essere esportati, ricostruiti, usati in modalità degradata e riportati in funzione senza il fornitore principale. Una clausola di portabilità non basta se l’organizzazione non riesce a riprendere il lavoro, registrare le perdite e tornare senza dipendenza nascosta.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Provenienza dei contenuti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Informazioni verificabili su acquisizione, origine, trasformazioni e approvazioni di un contenuto. Distribuiscono responsabilità e aiutano a ricostruire una storia tecnica, ma non certificano da sole sincerità, contesto o verità; metadati incompleti non rendono automaticamente falso un documento.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Licenza viva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Proposta del libro per l’uso di una voce, immagine o opera in sistemi generativi: consenso delimitato per scopo e durata, tracciabilità degli usi, compenso quando previsto, possibilità di revoca e trattamento delle opere derivate. Non descrive una licenza uniforme già riconosciuta dal diritto vigente. Vedi anche: Provenienza dei contenuti; Mandato operativo; Test del 2050.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Analisi del ciclo di vita (LCA)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Metodo per valutare gli impatti ambientali lungo fasi e confini dichiarati, dalle materie prime al fine vita. I risultati dipendono da obiettivo, unità funzionale, dati e perimetro e non sono confrontabili se questi elementi cambiano senza essere dichiarati.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Metabolismo materiale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Modo di leggere l’infrastruttura digitale attraverso ciò che entra, circola e resta: energia, acqua, minerali, apparecchiature, lavoro, emissioni e rifiuti. È una lente proposta dal libro, non una metrica unica; i confronti richiedono confini, unità e localizzazione dichiarati. Vedi anche: Analisi del ciclo di vita; Prelievo e consumo idrico; Sovranità tecnologica.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Prelievo e consumo idrico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Il prelievo è l’acqua rimossa da una fonte; il consumo è la quota non immediatamente restituita all’ambiente locale. Confonderli rende poco leggibili i confronti fra siti, tecnologie e stagioni.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Decisione unicamente automatizzata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Nel senso dell’articolo 22 GDPR, decisione adottata senza intervento umano significativo che produce effetti giuridici o incide in modo analogo significativamente sulla persona. Ambito, eccezioni e garanzie dipendono dal diritto applicabile.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Sistema di IA ad alto rischio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Categoria giuridica dell’AI Act riferita a sistemi individuati secondo funzione, contesto e condizioni previste dal regolamento. Non è sinonimo generico di sistema pericoloso e comporta obblighi specifici con applicazione progressiva.</w:t>
      </w:r>
    </w:p>
    <w:p>
      <w:pPr>
        <w:keepNext/>
        <w:spacing w:before="140" w:after="40"/>
      </w:pPr>
      <w:r>
        <w:rPr>
          <w:rFonts w:ascii="DejaVu Sans" w:hAnsi="DejaVu Sans" w:eastAsia="DejaVu Sans"/>
          <w:b/>
          <w:color w:val="123044"/>
          <w:sz w:val="20"/>
        </w:rPr>
        <w:t>Modello di IA per finalità generali (GPAI)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Modello capace di svolgere un’ampia gamma di compiti e di essere integrato in sistemi diversi. Nell’AI Act è una categoria regolatoria distinta dal singolo sistema che lo incorpora.</w:t>
      </w:r>
    </w:p>
    <w:p>
      <w:pPr>
        <w:pStyle w:val="Heading1"/>
      </w:pPr>
      <w:r>
        <w:t>Nota sull’uso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Le definizioni descrivono l’uso dei termini nel libro e distinguono, quando necessario, concetti tecnici, categorie giuridiche, scenari narrativi e proposte dell’autore. Per decisioni professionali o normative occorre consultare la fonte primaria e il diritto applicabile.</w:t>
      </w:r>
    </w:p>
    <w:sectPr>
      <w:headerReference w:type="default" r:id="rId9"/>
      <w:footerReference w:type="default" r:id="rId10"/>
      <w:footerReference w:type="first" r:id="rId11"/>
      <w:headerReference w:type="first" r:id="rId14"/>
      <w:pgSz w:w="12240" w:h="15840"/>
      <w:pgMar w:top="1008" w:right="1008" w:bottom="1008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152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IT-R1 - Edizione italiana - luglio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https://www.corneritaliano.com/2050/risorse/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RISORSE UFFICIALI  |  </w:t>
    </w:r>
    <w:r>
      <w:rPr>
        <w:rFonts w:ascii="DejaVu Sans" w:hAnsi="DejaVu Sans" w:eastAsia="DejaVu Sans"/>
        <w:color w:val="5D6870"/>
        <w:sz w:val="15"/>
      </w:rPr>
      <w:t>Glossario integrale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83" w:lineRule="auto"/>
    </w:pPr>
    <w:rPr>
      <w:rFonts w:ascii="DejaVu Sans" w:hAnsi="DejaVu Sans"/>
      <w:color w:val="1E25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hyperlink" Target="https://www.corneritaliano.com/2050/risorse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Glossario integrale</dc:title>
  <dc:subject>Risorsa ufficiale del libro 2050</dc:subject>
  <dc:creator/>
  <cp:keywords>2050, intelligenza artificiale, Test del 2050, risorse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