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Cronologia essenziale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Dalla nascita dell’IA alle soglie narrative del 2050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FATTI, SINTESI, NORME E SCENARI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METODO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Questa cronologia seleziona i passaggi necessari a orientarsi nel libro e qualifica ogni voce come fatto o sintesi storica, fatto normativo, scenario narrativo o proposta dell’autore.</w:t>
            </w:r>
          </w:p>
        </w:tc>
      </w:tr>
    </w:tbl>
    <w:p>
      <w:pPr>
        <w:spacing w:after="0"/>
      </w:pP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C8D2D7"/>
          <w:left w:val="single" w:sz="5" w:space="0" w:color="C8D2D7"/>
          <w:bottom w:val="single" w:sz="5" w:space="0" w:color="C8D2D7"/>
          <w:right w:val="single" w:sz="5" w:space="0" w:color="C8D2D7"/>
          <w:insideH w:val="single" w:sz="5" w:space="0" w:color="C8D2D7"/>
          <w:insideV w:val="single" w:sz="5" w:space="0" w:color="C8D2D7"/>
        </w:tblBorders>
      </w:tblPr>
      <w:tblGrid>
        <w:gridCol w:w="2182"/>
        <w:gridCol w:w="8042"/>
      </w:tblGrid>
      <w:tr>
        <w:trPr>
          <w:tblHeader w:val="true"/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Data o periodo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123044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FFFFFF"/>
                <w:sz w:val="14"/>
              </w:rPr>
              <w:t>Passaggio e qualificazione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1950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Alan Turing pubblica «Computing Machinery and Intelligence» e sostituisce la domanda astratta «le macchine possono pensare?» con il gioco dell’imitazione, spostando l’attenzione sul comportamento osservabile.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1955-1956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John McCarthy, Marvin Minsky, Nathaniel Rochester e Claude Shannon preparano la proposta per il seminario estivo di Dartmouth; l’espressione artificial intelligence diventa la bandiera di un nuovo campo di ricerca.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Fine anni Cinquanta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Sintesi storica. Il perceptron di Frank Rosenblatt alimenta l’idea che una macchina possa apprendere da esempi, mentre hardware, dati e metodi restano ancora limitati.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1966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Joseph Weizenbaum presenta ELIZA, programma semplice capace di produrre, attraverso regole e parole chiave, una sorprendente impressione di ascolto.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1969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e sintesi storica. Marvin Minsky e Seymour Papert analizzano i limiti dei perceptron semplici. Gli inverni successivi dipendono anche dal divario fra promesse, finanziamenti, calcolo e risultati.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1969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 infrastrutturale. ARPANET trasmette il primo messaggio fra due nodi, rendendo concreta una rete a commutazione di pacchetto da cui si svilupperanno architetture di comunicazione più ampie.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 gennaio 1983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 infrastrutturale. ARPANET completa la transizione a TCP/IP: reti diverse possono comunicare attraverso una famiglia comune di protocolli, passaggio decisivo verso Internet come rete di reti.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1986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David Rumelhart, Geoffrey Hinton e Ronald Williams mostrano in modo influente come la retropropagazione dell’errore possa addestrare reti a più strati.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1989-1991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 infrastrutturale. Tim Berners-Lee propone al CERN il World Wide Web nel 1989, ne sviluppa browser e server iniziali e nel 1991 il progetto comincia a uscire dal laboratorio, aprendo la rete alla navigazione ipertestuale.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1997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Deep Blue sconfigge Garry Kasparov in un incontro di sei partite, rendendo visibile al grande pubblico la forza del calcolo in un dominio con regole chiuse.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Tra gli anni Novanta e i primi Duemila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Sintesi storica. Internet, il Web e i servizi mobili trasformano la rete da ambiente specialistico a infrastruttura quotidiana; archivi, identità, comunicazioni e servizi cominciano a dipendere da sistemi interconnessi.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2012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AlexNet ottiene un risultato nettamente migliore nella competizione ImageNet usando processori grafici e rende evidente l’accelerazione dell’apprendimento profondo nel riconoscimento delle immagini.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2017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Il lavoro «Attention Is All You Need» presenta l’architettura Transformer, destinata a diventare centrale nei grandi modelli linguistici e in molti sistemi generativi.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30 novembre 2022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storico. ChatGPT viene presentato al pubblico come anteprima di ricerca e rende l’IA conversazionale accessibile su scala quotidiana.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Anni 2010 e 2020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Sintesi storica. Cloud, data center, API, piattaforme e oggetti connessi si combinano in infrastrutture sempre più invisibili, dalle quali dipendono lavoro, sanità, amministrazione, mobilità e informazione.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1 agosto 2024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Fatto normativo. Entra in vigore il Regolamento (UE) 2024/1689, detto AI Act. Le sue disposizioni si applicano progressivamente: la data non coincide con l’entrata in funzione simultanea di tutti gli obblighi.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Attorno al 2050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Scenario narrativo. Le vignette, ordinate per temi, coprono alcuni anni. Gli intervalli di quattordici e diciotto mesi appartengono al filo di Asha; i riesami a sei mesi riguardano invece Marta/Lidia e Davide; date, costi, tempi, quantità, capacità e assetti geopolitici futuri sono parametri di scenario, non previsioni o valori osservati. Include progetti limitati, interrotti e non adottati.</w:t>
            </w:r>
          </w:p>
        </w:tc>
      </w:tr>
      <w:tr>
        <w:trPr>
          <w:cantSplit/>
        </w:trPr>
        <w:tc>
          <w:tcPr>
            <w:tcW w:type="dxa" w:w="218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/>
                <w:color w:val="1E2528"/>
                <w:sz w:val="14"/>
              </w:rPr>
              <w:t>Proposte del libro</w:t>
            </w:r>
          </w:p>
        </w:tc>
        <w:tc>
          <w:tcPr>
            <w:tcW w:type="dxa" w:w="8042"/>
            <w:vAlign w:val="center"/>
            <w:tcMar>
              <w:top w:w="65" w:type="dxa"/>
              <w:start w:w="120" w:type="dxa"/>
              <w:bottom w:w="65" w:type="dxa"/>
              <w:end w:w="120" w:type="dxa"/>
            </w:tcMar>
            <w:shd w:fill="EFF2F3"/>
          </w:tcPr>
          <w:p>
            <w:pPr>
              <w:spacing w:after="0" w:line="240" w:lineRule="auto"/>
            </w:pPr>
            <w:r>
              <w:rPr>
                <w:rFonts w:ascii="DejaVu Sans" w:hAnsi="DejaVu Sans" w:eastAsia="DejaVu Sans"/>
                <w:b w:val="0"/>
                <w:color w:val="1E2528"/>
                <w:sz w:val="14"/>
              </w:rPr>
              <w:t>Proposta dell’autore. Test del 2050, minimizzazione della prova, gemello operativo, licenza viva e direttiva digitale post mortem sono strumenti da sperimentare, correggere o abbandonare: non fatti compiuti, diritto uniforme o previsioni.</w:t>
            </w:r>
          </w:p>
        </w:tc>
      </w:tr>
    </w:tbl>
    <w:p>
      <w:pPr>
        <w:spacing w:after="0"/>
      </w:pPr>
    </w:p>
    <w:p>
      <w:pPr>
        <w:pStyle w:val="Heading1"/>
      </w:pPr>
      <w:r>
        <w:t>Come citare la cronologia</w:t>
      </w:r>
    </w:p>
    <w:p>
      <w:pPr>
        <w:keepLines w:val="0"/>
      </w:pPr>
      <w:r>
        <w:rPr>
          <w:rFonts w:ascii="DejaVu Sans" w:hAnsi="DejaVu Sans" w:eastAsia="DejaVu Sans"/>
          <w:color w:val="1E2528"/>
          <w:sz w:val="18"/>
        </w:rPr>
        <w:t>Le voci storiche e normative rinviano alla Bibliografia navigabile del Centro risorse. Le scene attorno al 2050 restano parametri narrativi, non previsioni. Le proposte del libro devono essere sperimentate, corrette o abbandonate in base alle evidenze e al contesto.</w:t>
      </w:r>
    </w:p>
    <w:sectPr>
      <w:headerReference w:type="default" r:id="rId9"/>
      <w:footerReference w:type="default" r:id="rId10"/>
      <w:footerReference w:type="first" r:id="rId11"/>
      <w:headerReference w:type="first" r:id="rId14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Cronologia essenziale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Cronologia essenziale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