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40"/>
        <w:jc w:val="center"/>
      </w:pPr>
      <w:r>
        <w:drawing>
          <wp:inline xmlns:a="http://schemas.openxmlformats.org/drawingml/2006/main" xmlns:pic="http://schemas.openxmlformats.org/drawingml/2006/picture">
            <wp:extent cx="1508760" cy="1005840"/>
            <wp:docPr id="1" name="Picture 1" descr="Logo editoriale Corner Italiano" title="Corner Italiano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rner-italiano-logo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005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20" w:after="16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CORNER ITALIANO  |  RISORSE UFFICIALI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color w:val="123044"/>
          <w:sz w:val="56"/>
        </w:rPr>
        <w:t>Mappa tematica</w:t>
      </w:r>
    </w:p>
    <w:p>
      <w:pPr>
        <w:pStyle w:val="Subtitle"/>
        <w:jc w:val="center"/>
      </w:pPr>
      <w:r>
        <w:rPr>
          <w:rFonts w:ascii="DejaVu Sans" w:hAnsi="DejaVu Sans" w:eastAsia="DejaVu Sans"/>
          <w:color w:val="5D6870"/>
          <w:sz w:val="25"/>
        </w:rPr>
        <w:t>Dove ritrovare le domande centrali del libro</w:t>
      </w:r>
    </w:p>
    <w:p>
      <w:pPr>
        <w:spacing w:before="440"/>
        <w:jc w:val="center"/>
      </w:pPr>
      <w:r>
        <w:rPr>
          <w:rFonts w:ascii="DejaVu Sans" w:hAnsi="DejaVu Sans" w:eastAsia="DejaVu Sans"/>
          <w:b/>
          <w:color w:val="B54B2A"/>
          <w:sz w:val="17"/>
        </w:rPr>
        <w:t>INDICE RAGIONATO PER TEMI</w:t>
      </w:r>
    </w:p>
    <w:p>
      <w:pPr>
        <w:jc w:val="center"/>
      </w:pPr>
      <w:r>
        <w:rPr>
          <w:rFonts w:ascii="DejaVu Sans" w:hAnsi="DejaVu Sans" w:eastAsia="DejaVu Sans"/>
          <w:color w:val="234C61"/>
          <w:sz w:val="19"/>
        </w:rPr>
        <w:t>Edizione italiana - luglio 2026</w:t>
      </w:r>
    </w:p>
    <w:p>
      <w:pPr>
        <w:spacing w:before="360"/>
        <w:jc w:val="center"/>
      </w:pPr>
      <w:hyperlink r:id="rId13">
        <w:r>
          <w:rPr>
            <w:rFonts w:ascii="DejaVu Sans" w:hAnsi="DejaVu Sans" w:eastAsia="DejaVu Sans"/>
            <w:color w:val="234C61"/>
            <w:u w:val="single"/>
            <w:sz w:val="18"/>
          </w:rPr>
          <w:t>https://www.corneritaliano.com/2050/risorse/</w:t>
        </w:r>
      </w:hyperlink>
    </w:p>
    <w:p>
      <w:r>
        <w:br w:type="page"/>
      </w:r>
    </w:p>
    <w:tbl>
      <w:tblPr>
        <w:tblW w:type="dxa" w:w="10224"/>
        <w:jc w:val="left"/>
        <w:tblLayout w:type="fixed"/>
        <w:tblLook w:firstColumn="1" w:firstRow="1" w:lastColumn="0" w:lastRow="0" w:noHBand="0" w:noVBand="1" w:val="04A0"/>
        <w:tblInd w:w="150" w:type="dxa"/>
        <w:tblBorders>
          <w:top w:val="single" w:sz="7" w:space="0" w:color="B54B2A"/>
          <w:left w:val="single" w:sz="7" w:space="0" w:color="B54B2A"/>
          <w:bottom w:val="single" w:sz="7" w:space="0" w:color="B54B2A"/>
          <w:right w:val="single" w:sz="7" w:space="0" w:color="B54B2A"/>
          <w:insideH w:val="single" w:sz="7" w:space="0" w:color="B54B2A"/>
          <w:insideV w:val="single" w:sz="7" w:space="0" w:color="B54B2A"/>
        </w:tblBorders>
      </w:tblPr>
      <w:tblGrid>
        <w:gridCol w:w="10224"/>
      </w:tblGrid>
      <w:tr>
        <w:trPr>
          <w:cantSplit/>
        </w:trPr>
        <w:tc>
          <w:tcPr>
            <w:tcW w:type="dxa" w:w="10224"/>
            <w:shd w:fill="F7E7E0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>
              <w:rPr>
                <w:rFonts w:ascii="DejaVu Sans" w:hAnsi="DejaVu Sans" w:eastAsia="DejaVu Sans"/>
                <w:b/>
                <w:color w:val="B54B2A"/>
                <w:sz w:val="17"/>
              </w:rPr>
              <w:t xml:space="preserve">ORIENTAMENTO  </w:t>
            </w:r>
            <w:r>
              <w:rPr>
                <w:rFonts w:ascii="DejaVu Sans" w:hAnsi="DejaVu Sans" w:eastAsia="DejaVu Sans"/>
                <w:color w:val="1E2528"/>
                <w:sz w:val="18"/>
              </w:rPr>
              <w:t>Il libro ritorna sulle stesse domande da scale diverse. La mappa indica dove ogni tema viene sviluppato e usa titoli stabili, così i rinvii resistono ai cambi di pagina.</w:t>
            </w:r>
          </w:p>
        </w:tc>
      </w:tr>
    </w:tbl>
    <w:p>
      <w:pPr>
        <w:spacing w:after="0"/>
      </w:pP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Speranza adulta e limite alla delega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Introduzione; Capitolo 16; Epilogo, «Ciò che non deleghiamo».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Studiare la tecnologia, usarla quando migliora la vita e conservare luoghi in cui una scelta umana possa ancora limitarla, rifiutarla o correggerla.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Capacità, affidabilità e autorità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Introduzione; Interludio I; Capitoli 1, 4, 7, 8, 12 e 16; Strumenti, «Mappa dei tre vocabolari».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Sapere fare, riuscire nelle condizioni reali ed essere autorizzati ad agire sono proprietà distinte.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Test del 2050 e tre vocabolari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Interludio I; Capitolo 7; Interludio II; Capitolo 16; Strumenti.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Le sette domande, lo stato dell’evidenza e la decisione organizzativa restano distinti e non producono una media compensatoria.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Identità, minimizzazione della prova e portabilità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2 e 3; Capitolo 16; Strumenti, «Scheda compilabile del Test del 2050».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Dimostrare soltanto ciò che serve senza consegnare la persona né trasferirle tutto il rischio di recupero e uscita.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Infrastrutture, continuità e prova d’uscita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3 e 14; Capitolo 16, «Uscire senza abbandonare»; Strumenti.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Cloud, reti, API, contratti e competenza residua diventano governabili quando la continuità ridotta e la sostituzione sono provate.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Lavoro, competenza e formazione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4, 6 e 7; richiami nei Capitoli 10 e 16.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L’automazione comprime compiti, ma il giudizio resta praticabile soltanto se apprendistato, tempo e autorità entrano nel lavoro.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Mandato, ricorso e supervisione sostanziale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4, 5, 7, 8, 12 e 16; Interludi I e II.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Una persona conta nel processo quando possiede evidenza, tempo e potere per sospendere, correggere e ottenere un esito motivato.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Cura, incertezza e dignità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8, 11 e 15.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Errore tecnico, incertezza clinica, conflitto di valori, presenza e congedo richiedono risposte diverse.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Verità pubblica, provenienza e fatica epistemica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Capitolo 9; richiami nel Capitolo 10 e negli Strumenti.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Ricostruire origine e trasformazioni aiuta la verifica, ma la fiducia pubblica dipende anche dal costo umano e istituzionale di contestare.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Autorialità, firma e nuova scarsità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Capitolo 10; richiami nel Capitolo 9.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Provenienza, dichiarazione degli strumenti e firma distribuiscono storia, trasparenza e responsabilità senza assegnare automaticamente valore all’opera.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Affetti, minori e asimmetria relazionale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Capitolo 11; richiami nei Capitoli 15 e 16.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Il conforto può diventare ponte o gabbia secondo memoria, incentivi, libertà di smettere e apertura verso altre relazioni.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Privacy, profilazione e intervalli non misurati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5 e 12; richiami nel Capitolo 11.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Proteggere non autorizza automaticamente a comandare, e una persona deve poter cambiare senza produrre subito un profilo operativo.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Costo del controllo, danno residuo e capacità organizzativa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7, 8 e 14; Interludio II, «Il costo del controllo» e «Il danno che resta»; Strumenti.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Verificare consuma tempo e competenza e non promette rischio zero: deve rendere possibile ricostruzione, riparazione e restrizione.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Sostenibilità materiale e giustizia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3 e 13; dimensione geopolitica nel Capitolo 14.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Energia, acqua, minerali, apparecchiature, lavoro e rifiuti formano una filiera di decisioni, non un costo astratto.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Dipendenza strategica, manutenzione e voce infrastrutturale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3 e 14, in particolare «La manutenzione decide chi conserva voce».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L’autonomia relativa nasce da alternative, competenze locali, standard e poteri concreti di sospendere, correggere ed esportare.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Disuguaglianza e accesso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4, 5, 6, 8, 12, 13 e 14.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Benefici, attese, protezioni e costi cambiano secondo reddito, territorio, capacità amministrativa e possibilità di raggiungere il rimedio.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Memoria, archivio, simulazione e oblio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Capitolo 15; anticipazioni nei Capitoli 11 e 12; Epilogo.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Conservare tracce, organizzare un memoriale e generare parole nuove sono atti diversi, con mandati e diritti diversi.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Ciclo di vita, monitoraggio e uscita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Capitoli 7 e 16; Strumenti, «Dal Test alla decisione».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Scheda, registro, incidente, ricorso, prova d’uscita e riesame mantengono osservabile il Mandato mentre cambiano modello, dati, scala o responsabili.</w:t>
      </w:r>
    </w:p>
    <w:p>
      <w:pPr>
        <w:keepNext/>
        <w:spacing w:before="160" w:after="40"/>
      </w:pPr>
      <w:r>
        <w:rPr>
          <w:rFonts w:ascii="DejaVu Sans" w:hAnsi="DejaVu Sans" w:eastAsia="DejaVu Sans"/>
          <w:b/>
          <w:color w:val="123044"/>
          <w:sz w:val="20"/>
        </w:rPr>
        <w:t>Non delegare, costo del no e riapertura</w:t>
      </w:r>
    </w:p>
    <w:p>
      <w:pPr>
        <w:spacing w:after="40"/>
      </w:pPr>
      <w:r>
        <w:rPr>
          <w:rFonts w:ascii="DejaVu Sans" w:hAnsi="DejaVu Sans" w:eastAsia="DejaVu Sans"/>
          <w:b/>
          <w:color w:val="B54B2A"/>
          <w:sz w:val="17"/>
        </w:rPr>
        <w:t xml:space="preserve">Dove nel libro: </w:t>
      </w:r>
      <w:r>
        <w:rPr>
          <w:rFonts w:ascii="DejaVu Sans" w:hAnsi="DejaVu Sans" w:eastAsia="DejaVu Sans"/>
          <w:i/>
          <w:color w:val="5D6870"/>
          <w:sz w:val="17"/>
        </w:rPr>
        <w:t>Capitolo 16, «Quando la risposta è non adottare» e «Il costo del no e la riapertura»; Epilogo; Strumenti, caso Davide.</w:t>
      </w:r>
    </w:p>
    <w:p>
      <w:pPr>
        <w:spacing w:after="100"/>
      </w:pPr>
      <w:r>
        <w:rPr>
          <w:rFonts w:ascii="DejaVu Sans" w:hAnsi="DejaVu Sans" w:eastAsia="DejaVu Sans"/>
          <w:color w:val="1E2528"/>
          <w:sz w:val="18"/>
        </w:rPr>
        <w:t>Il rifiuto registra protezioni e costi, conserva un’alternativa e permette una nuova prova senza cancellare il primo giudizio.</w:t>
      </w:r>
    </w:p>
    <w:sectPr>
      <w:headerReference w:type="default" r:id="rId9"/>
      <w:footerReference w:type="default" r:id="rId10"/>
      <w:footerReference w:type="first" r:id="rId11"/>
      <w:headerReference w:type="first" r:id="rId14"/>
      <w:pgSz w:w="12240" w:h="15840"/>
      <w:pgMar w:top="1008" w:right="1008" w:bottom="1008" w:left="1008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152" w:val="left"/>
      </w:tabs>
      <w:spacing w:before="0" w:after="0"/>
    </w:pPr>
    <w:r>
      <w:rPr>
        <w:rFonts w:ascii="DejaVu Sans" w:hAnsi="DejaVu Sans" w:eastAsia="DejaVu Sans"/>
        <w:color w:val="5D6870"/>
        <w:sz w:val="14"/>
      </w:rPr>
      <w:t>2050 - IT-R1 - Edizione italiana - luglio 2026</w:t>
    </w:r>
    <w:r>
      <w:tab/>
    </w:r>
    <w:r>
      <w:rPr>
        <w:rFonts w:ascii="DejaVu Sans" w:hAnsi="DejaVu Sans" w:eastAsia="DejaVu Sans"/>
        <w:color w:val="5D687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color w:val="5D6870"/>
        <w:sz w:val="15"/>
      </w:rPr>
      <w:t>https://www.corneritaliano.com/2050/risorse/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DejaVu Sans" w:hAnsi="DejaVu Sans" w:eastAsia="DejaVu Sans"/>
        <w:b/>
        <w:color w:val="B54B2A"/>
        <w:sz w:val="15"/>
      </w:rPr>
      <w:t xml:space="preserve">2050  |  RISORSE UFFICIALI  |  </w:t>
    </w:r>
    <w:r>
      <w:rPr>
        <w:rFonts w:ascii="DejaVu Sans" w:hAnsi="DejaVu Sans" w:eastAsia="DejaVu Sans"/>
        <w:color w:val="5D6870"/>
        <w:sz w:val="15"/>
      </w:rPr>
      <w:t>Mappa tematica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83" w:lineRule="auto"/>
    </w:pPr>
    <w:rPr>
      <w:rFonts w:ascii="DejaVu Sans" w:hAnsi="DejaVu Sans"/>
      <w:color w:val="1E25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23044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B54B2A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234C61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DejaVu Sans" w:hAnsi="DejaVu Sans"/>
      <w:b/>
      <w:color w:val="123044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DejaVu Sans" w:hAnsi="DejaVu Sans"/>
      <w:b w:val="0"/>
      <w:i/>
      <w:iCs/>
      <w:color w:val="5D6870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image" Target="media/image1.png"/><Relationship Id="rId13" Type="http://schemas.openxmlformats.org/officeDocument/2006/relationships/hyperlink" Target="https://www.corneritaliano.com/2050/risorse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Mappa tematica</dc:title>
  <dc:subject>Risorsa ufficiale del libro 2050</dc:subject>
  <dc:creator/>
  <cp:keywords>2050, intelligenza artificiale, Test del 2050, risorse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