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exact"/>
        <w:jc w:val="center"/>
      </w:pPr>
      <w:r>
        <w:rPr>
          <w:rFonts w:ascii="EB Garamond" w:hAnsi="EB Garamond" w:eastAsia="EB Garamond" w:cs="EB Garamond"/>
          <w:b/>
          <w:color w:val="B04A35"/>
          <w:sz w:val="21"/>
          <w:szCs w:val="21"/>
        </w:rPr>
        <w:t xml:space="preserve">CORNER ITALIANO  |  RISORSE UFFICIALI</w:t>
      </w:r>
    </w:p>
    <w:p>
      <w:pPr>
        <w:spacing w:before="560" w:line="640" w:lineRule="exact"/>
        <w:jc w:val="center"/>
      </w:pPr>
      <w:r>
        <w:rPr>
          <w:rFonts w:ascii="EB Garamond" w:hAnsi="EB Garamond" w:eastAsia="EB Garamond" w:cs="EB Garamond"/>
          <w:b/>
          <w:color w:val="183445"/>
          <w:sz w:val="56"/>
          <w:szCs w:val="56"/>
        </w:rPr>
        <w:t xml:space="preserve">Test del 2050</w:t>
      </w:r>
    </w:p>
    <w:p>
      <w:pPr>
        <w:jc w:val="center"/>
        <w:spacing w:line="640" w:lineRule="exact"/>
      </w:pPr>
      <w:r>
        <w:rPr>
          <w:rFonts w:ascii="EB Garamond" w:hAnsi="EB Garamond" w:eastAsia="EB Garamond" w:cs="EB Garamond"/>
          <w:b/>
          <w:color w:val="183445"/>
          <w:sz w:val="56"/>
          <w:szCs w:val="56"/>
        </w:rPr>
        <w:t xml:space="preserve">Quaderno operativo</w:t>
      </w:r>
    </w:p>
    <w:p>
      <w:pPr>
        <w:spacing w:before="200" w:line="270" w:lineRule="exact"/>
        <w:jc w:val="center"/>
      </w:pPr>
      <w:r>
        <w:rPr>
          <w:rFonts w:ascii="EB Garamond" w:hAnsi="EB Garamond" w:eastAsia="EB Garamond" w:cs="EB Garamond"/>
          <w:color w:val="5A686F"/>
          <w:sz w:val="21"/>
          <w:szCs w:val="21"/>
        </w:rPr>
        <w:t xml:space="preserve">I tre vocabolari, le sette domande, il monitoraggio, la decisione e il riesame.</w:t>
      </w:r>
    </w:p>
    <w:p>
      <w:pPr>
        <w:spacing w:before="600" w:line="270" w:lineRule="exact"/>
        <w:jc w:val="center"/>
      </w:pPr>
      <w:r>
        <w:rPr>
          <w:rFonts w:ascii="EB Garamond" w:hAnsi="EB Garamond" w:eastAsia="EB Garamond" w:cs="EB Garamond"/>
          <w:color w:val="183445"/>
          <w:sz w:val="21"/>
          <w:szCs w:val="21"/>
        </w:rPr>
        <w:t xml:space="preserve">Allineato all’interno inglese revisionato · Quadro documentale: luglio 2026 · Versione delle risorse IT-R2.3</w:t>
      </w:r>
    </w:p>
    <w:p>
      <w:pPr>
        <w:spacing w:before="520" w:line="270" w:lineRule="exact"/>
        <w:jc w:val="center"/>
      </w:pPr>
      <w:hyperlink r:id="rId12">
        <w:r>
          <w:rPr>
            <w:rFonts w:ascii="EB Garamond" w:hAnsi="EB Garamond" w:eastAsia="EB Garamond" w:cs="EB Garamond"/>
            <w:color w:val="183445"/>
            <w:u w:val="single"/>
            <w:sz w:val="21"/>
            <w:szCs w:val="21"/>
          </w:rPr>
          <w:t>https://www.corneritaliano.com/2050/risorse/</w:t>
        </w:r>
      </w:hyperlink>
    </w:p>
    <w:p>
      <w:pPr>
        <w:spacing w:before="800" w:line="270" w:lineRule="exact"/>
        <w:jc w:val="center"/>
      </w:pPr>
      <w:r>
        <w:rPr>
          <w:rFonts w:ascii="EB Garamond" w:hAnsi="EB Garamond" w:eastAsia="EB Garamond" w:cs="EB Garamond"/>
          <w:i/>
          <w:color w:val="5A686F"/>
          <w:sz w:val="18"/>
          <w:szCs w:val="18"/>
        </w:rPr>
        <w:t xml:space="preserve">Stampare al 100% su carta A4. Stampare e compilare a mano oppure modificare la versione Word. Compilare con fatti, documenti, versione e data. Gli spazi vuoti sono intenzionali e servono alla registrazione delle evidenze.</w:t>
      </w: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Mappa dei tre vocabolari</w:t>
      </w:r>
    </w:p>
    <w:p>
      <w:pPr>
        <w:keepLines w:val="0"/>
        <w:spacing w:line="270" w:lineRule="exact"/>
      </w:pPr>
      <w:r>
        <w:rPr>
          <w:rFonts w:ascii="EB Garamond" w:hAnsi="EB Garamond" w:eastAsia="EB Garamond" w:cs="EB Garamond"/>
          <w:color w:val="1F2D33"/>
          <w:sz w:val="18"/>
          <w:szCs w:val="18"/>
        </w:rPr>
        <w:t xml:space="preserve">La modalità identifica il potere esercitato da un sistema. A ciascuna domanda viene assegnato uno stato della risposta, mentre la decisione organizzativa registra ciò che viene autorizzato nel complesso. Non sommare questi vocabolari né convertire automaticamente l’uno nell’altro.</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5018"/>
        <w:gridCol w:w="3149"/>
      </w:tblGrid>
      <w:tr>
        <w:trPr>
          <w:tblHeader w:val="true"/>
          <w:cantSplit/>
        </w:trPr>
        <w:tc>
          <w:tcPr>
            <w:tcW w:type="dxa" w:w="167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Piano</w:t>
            </w:r>
          </w:p>
        </w:tc>
        <w:tc>
          <w:tcPr>
            <w:tcW w:type="dxa" w:w="501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Vocabolario e significato</w:t>
            </w:r>
          </w:p>
        </w:tc>
        <w:tc>
          <w:tcPr>
            <w:tcW w:type="dxa" w:w="314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Regola d’uso</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Modalità del sistema</w:t>
            </w:r>
          </w:p>
        </w:tc>
        <w:tc>
          <w:tcPr>
            <w:tcW w:type="dxa" w:w="501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Assiste—prepara, ordina o rende visibili elementi senza scegliere l’esito. Propone—raccomanda un’opzione che una persona competente può modificare o rifiutare. Decide—seleziona un esito entro il mandato. Esegue—produce un effetto sul servizio, nel mondo o sui diritti.</w:t>
            </w:r>
          </w:p>
        </w:tc>
        <w:tc>
          <w:tcPr>
            <w:tcW w:type="dxa" w:w="3149"/>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Descrive il potere esercitato in un determinato compito e in una determinata fase. Può cambiare all’interno dello stesso sistema.</w:t>
            </w:r>
          </w:p>
        </w:tc>
      </w:tr>
      <w:tr>
        <w:trPr>
          <w:cantSplit/>
        </w:trPr>
        <w:tc>
          <w:tcPr>
            <w:tcW w:type="dxa" w:w="167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Stato della risposta</w:t>
            </w:r>
          </w:p>
        </w:tc>
        <w:tc>
          <w:tcPr>
            <w:tcW w:type="dxa" w:w="501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Sufficiente—consente di decidere soltanto entro la versione, la data e il perimetro stabiliti per iscritto. Irrisolta—richiede evidenza, un responsabile e una scadenza. Bloccante—impedisce la delega o impone di restringere o fermare l’uso finché la condizione non cambia.</w:t>
            </w:r>
          </w:p>
        </w:tc>
        <w:tc>
          <w:tcPr>
            <w:tcW w:type="dxa" w:w="31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Lo stato qualifica ciascuna delle sette risposte.</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Decisione organizzativa</w:t>
            </w:r>
          </w:p>
        </w:tc>
        <w:tc>
          <w:tcPr>
            <w:tcW w:type="dxa" w:w="501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Procedere—autorizzare il perimetro stabilito per iscritto. Limitare e provare—autorizzare una prova delimitata, reversibile e arrestabile. Non delegare—non affidare quel potere nel contesto corrente; documentare l’alternativa e il suo costo e programmare un riesame. Interrompere—porre fine a un’autorizzazione già attiva.</w:t>
            </w:r>
          </w:p>
        </w:tc>
        <w:tc>
          <w:tcPr>
            <w:tcW w:type="dxa" w:w="3149"/>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Registra la scelta complessiva. Non deriva automaticamente dalla modalità né dal numero di domande la cui risposta è Sufficiente.</w:t>
            </w:r>
          </w:p>
        </w:tc>
      </w:tr>
    </w:tbl>
    <w:p>
      <w:pPr>
        <w:spacing w:after="0"/>
      </w:pPr>
    </w:p>
    <w:p>
      <w:pPr>
        <w:pStyle w:val="Heading1"/>
        <w:spacing w:line="460" w:lineRule="exact"/>
      </w:pPr>
      <w:r>
        <w:rPr>
          <w:rFonts w:ascii="EB Garamond" w:hAnsi="EB Garamond" w:eastAsia="EB Garamond" w:cs="EB Garamond"/>
          <w:sz w:val="40"/>
          <w:szCs w:val="40"/>
          <w:color w:val="183445"/>
        </w:rPr>
        <w:t xml:space="preserve">Dal Test alla decisione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362"/>
        <w:gridCol w:w="7478"/>
      </w:tblGrid>
      <w:tr>
        <w:trPr>
          <w:tblHeader w:val="true"/>
          <w:cantSplit/>
        </w:trPr>
        <w:tc>
          <w:tcPr>
            <w:tcW w:type="dxa" w:w="236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Passaggio</w:t>
            </w:r>
          </w:p>
        </w:tc>
        <w:tc>
          <w:tcPr>
            <w:tcW w:type="dxa" w:w="747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Che cosa deve restare osservabile</w:t>
            </w:r>
          </w:p>
        </w:tc>
      </w:tr>
      <w:tr>
        <w:trPr>
          <w:cantSplit/>
        </w:trPr>
        <w:tc>
          <w:tcPr>
            <w:tcW w:type="dxa" w:w="2362"/>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Test</w:t>
            </w:r>
          </w:p>
        </w:tc>
        <w:tc>
          <w:tcPr>
            <w:tcW w:type="dxa" w:w="747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Scopo, Mandato, Prova, Distribuzione, Danno, Ricorso e Uscita; evidenze e condizioni non compensabili.</w:t>
            </w:r>
          </w:p>
        </w:tc>
      </w:tr>
      <w:tr>
        <w:trPr>
          <w:cantSplit/>
        </w:trPr>
        <w:tc>
          <w:tcPr>
            <w:tcW w:type="dxa" w:w="236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Mandato</w:t>
            </w:r>
          </w:p>
        </w:tc>
        <w:tc>
          <w:tcPr>
            <w:tcW w:type="dxa" w:w="747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Compiti, modalità, dati, persone, luoghi, durata, volume, registri, divieti, soglie e autorità d’arresto.</w:t>
            </w:r>
          </w:p>
        </w:tc>
      </w:tr>
      <w:tr>
        <w:trPr>
          <w:cantSplit/>
        </w:trPr>
        <w:tc>
          <w:tcPr>
            <w:tcW w:type="dxa" w:w="2362"/>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3. Monitoraggio del ciclo di vita</w:t>
            </w:r>
          </w:p>
        </w:tc>
        <w:tc>
          <w:tcPr>
            <w:tcW w:type="dxa" w:w="747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Versione, benefici, eccezioni, carico di supervisione, incidenti, richieste di ricorso, competenza residua e prova d’uscita.</w:t>
            </w:r>
          </w:p>
        </w:tc>
      </w:tr>
      <w:tr>
        <w:trPr>
          <w:cantSplit/>
        </w:trPr>
        <w:tc>
          <w:tcPr>
            <w:tcW w:type="dxa" w:w="236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4. Limitare, uscire o interrompere</w:t>
            </w:r>
          </w:p>
        </w:tc>
        <w:tc>
          <w:tcPr>
            <w:tcW w:type="dxa" w:w="747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Restringere il mandato, passare alla modalità degradata, sostituire il sistema o interromperne l’uso quando le condizioni non reggono più.</w:t>
            </w:r>
          </w:p>
        </w:tc>
      </w:tr>
    </w:tbl>
    <w:p>
      <w:pPr>
        <w:spacing w:after="0"/>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DA RICORDARE  Assiste non equivale a Procedere e Sufficiente non equivale a un giudizio favorevole. Riaprire il Test quando cambiano modello, dati, fornitore, scala, compito o responsabili.</w:t>
            </w:r>
          </w:p>
        </w:tc>
      </w:tr>
    </w:tbl>
    <w:p>
      <w:pPr>
        <w:spacing w:after="0"/>
      </w:pPr>
    </w:p>
    <w:p>
      <w:r>
        <w:br w:type="page"/>
        <w:rPr>
          <w:rFonts w:ascii="EB Garamond" w:hAnsi="EB Garamond" w:eastAsia="EB Garamond" w:cs="EB Garamond"/>
          <w:sz w:val="21"/>
          <w:szCs w:val="21"/>
        </w:rPr>
      </w:r>
      <w:pPr/>
    </w:p>
    <w:p>
      <w:pPr>
        <w:pStyle w:val="Heading1"/>
        <w:spacing w:line="460" w:lineRule="exact"/>
        <w:pageBreakBefore w:val="1"/>
      </w:pPr>
      <w:r>
        <w:rPr>
          <w:rFonts w:ascii="EB Garamond" w:hAnsi="EB Garamond" w:eastAsia="EB Garamond" w:cs="EB Garamond"/>
          <w:sz w:val="40"/>
          <w:szCs w:val="40"/>
          <w:color w:val="183445"/>
        </w:rPr>
        <w:t xml:space="preserve">Quando una risposta è Sufficiente e quando è Bloccante</w:t>
      </w:r>
    </w:p>
    <w:p>
      <w:pPr>
        <w:keepLines w:val="0"/>
        <w:spacing w:line="270" w:lineRule="exact" w:after="120"/>
      </w:pPr>
      <w:r>
        <w:rPr>
          <w:rFonts w:ascii="EB Garamond" w:hAnsi="EB Garamond" w:eastAsia="EB Garamond" w:cs="EB Garamond"/>
          <w:color w:val="1F2D33"/>
          <w:sz w:val="18"/>
          <w:szCs w:val="18"/>
          <w:b w:val="0"/>
          <w:bCs w:val="0"/>
          <w:i w:val="0"/>
          <w:iCs w:val="0"/>
        </w:rPr>
        <w:t xml:space="preserve">Scopo — Sufficiente quando il bisogno è osservabile, i beneficiari sono indicati, un criterio di miglioramento è scritto e sono stati confrontati l’alternativa meno invasiva e il costo del non intervenire. Bloccante quando l’unico obiettivo dichiarato è «usare l’IA» o ottenere un risparmio il cui costo ricade su persone che non possono opporsi.</w:t>
      </w:r>
    </w:p>
    <w:p>
      <w:pPr>
        <w:keepLines w:val="0"/>
        <w:spacing w:line="270" w:lineRule="exact" w:after="120"/>
      </w:pPr>
      <w:r>
        <w:rPr>
          <w:rFonts w:ascii="EB Garamond" w:hAnsi="EB Garamond" w:eastAsia="EB Garamond" w:cs="EB Garamond"/>
          <w:color w:val="1F2D33"/>
          <w:sz w:val="18"/>
          <w:szCs w:val="18"/>
          <w:b w:val="0"/>
          <w:bCs w:val="0"/>
          <w:i w:val="0"/>
          <w:iCs w:val="0"/>
        </w:rPr>
        <w:t xml:space="preserve">Mandato — Sufficiente quando la modalità è scritta (Assiste, Propone, Decide, Esegue) insieme ai limiti, a un responsabile e a un percorso di escalation, e la persona che esamina gli output dispone di tempo, competenza e autorità per disattenderli. Bloccante quando un sistema definito «di supporto» opera come Decide o Esegue perché nessuno può disattenderlo in tempo.</w:t>
      </w:r>
    </w:p>
    <w:p>
      <w:pPr>
        <w:keepLines w:val="0"/>
        <w:spacing w:line="270" w:lineRule="exact" w:after="120"/>
      </w:pPr>
      <w:r>
        <w:rPr>
          <w:rFonts w:ascii="EB Garamond" w:hAnsi="EB Garamond" w:eastAsia="EB Garamond" w:cs="EB Garamond"/>
          <w:color w:val="1F2D33"/>
          <w:sz w:val="18"/>
          <w:szCs w:val="18"/>
          <w:b w:val="0"/>
          <w:bCs w:val="0"/>
          <w:i w:val="0"/>
          <w:iCs w:val="0"/>
        </w:rPr>
        <w:t xml:space="preserve">Prova — Sufficiente quando le prestazioni sono state misurate nel contesto d’uso, i limiti noti sono documentati e la persona soggetta all’esito può ottenere una spiegazione sufficiente a verificarlo e contestarlo. Bloccante quando le prestazioni nel contesto sono sconosciute oppure l’esito non può essere spiegato alla persona che ne subisce gli effetti. Per ottenere tale evidenza può essere autorizzata l’osservazione su casi chiusi o sintetici senza effetti esterni; non si tratta di delega.</w:t>
      </w:r>
    </w:p>
    <w:p>
      <w:pPr>
        <w:keepLines w:val="0"/>
        <w:spacing w:line="270" w:lineRule="exact" w:after="120"/>
      </w:pPr>
      <w:r>
        <w:rPr>
          <w:rFonts w:ascii="EB Garamond" w:hAnsi="EB Garamond" w:eastAsia="EB Garamond" w:cs="EB Garamond"/>
          <w:color w:val="1F2D33"/>
          <w:sz w:val="18"/>
          <w:szCs w:val="18"/>
          <w:b w:val="0"/>
          <w:bCs w:val="0"/>
          <w:i w:val="0"/>
          <w:iCs w:val="0"/>
        </w:rPr>
        <w:t xml:space="preserve">Distribuzione — Sufficiente quando il bilancio mostra chi guadagna e chi paga in tempo, lavoro, rischio e potere, includendo chi è escluso o scarsamente rappresentato, e viene conteggiato il costo della governance. Bloccante quando il vantaggio va all’organizzazione e il rischio si trasferisce ai meno tutelati, senza compensazione e senza possibilità di opporsi.</w:t>
      </w:r>
    </w:p>
    <w:p>
      <w:pPr>
        <w:keepLines w:val="0"/>
        <w:spacing w:line="270" w:lineRule="exact" w:after="120"/>
      </w:pPr>
      <w:r>
        <w:rPr>
          <w:rFonts w:ascii="EB Garamond" w:hAnsi="EB Garamond" w:eastAsia="EB Garamond" w:cs="EB Garamond"/>
          <w:color w:val="1F2D33"/>
          <w:sz w:val="18"/>
          <w:szCs w:val="18"/>
          <w:b w:val="0"/>
          <w:bCs w:val="0"/>
          <w:i w:val="0"/>
          <w:iCs w:val="0"/>
        </w:rPr>
        <w:t xml:space="preserve">Danno — Sufficiente quando i fallimenti plausibili sono elencati con gravità, estensione, reversibilità e tempo al danno, e allerta, arresto e contenimento precedono il danno. Bloccante quando il sistema agisce più velocemente di quanto le persone possano comprenderlo o fermarlo, oppure quando un fallimento plausibile non potrebbe essere contenuto entro il perimetro autorizzato prima di diventare irreversibile per la persona coinvolta.</w:t>
      </w:r>
    </w:p>
    <w:p>
      <w:pPr>
        <w:keepLines w:val="0"/>
        <w:spacing w:line="270" w:lineRule="exact" w:after="120"/>
      </w:pPr>
      <w:r>
        <w:rPr>
          <w:rFonts w:ascii="EB Garamond" w:hAnsi="EB Garamond" w:eastAsia="EB Garamond" w:cs="EB Garamond"/>
          <w:color w:val="1F2D33"/>
          <w:sz w:val="18"/>
          <w:szCs w:val="18"/>
          <w:b w:val="0"/>
          <w:bCs w:val="0"/>
          <w:i w:val="0"/>
          <w:iCs w:val="0"/>
        </w:rPr>
        <w:t xml:space="preserve">Ricorso — Sufficiente quando alla persona viene comunicato il coinvolgimento di un sistema e ciò che è accaduto, vengono fornite le ragioni, la persona raggiunge entro un tempo dichiarato un revisore competente con autorità di modificare l’esito e le correzioni raggiungono i dati o la procedura a monte. Bloccante quando il riesame è automatizzato, si limita a ripetere l’esito o non ha l’autorità di modificarlo.</w:t>
      </w:r>
    </w:p>
    <w:p>
      <w:pPr>
        <w:keepLines w:val="0"/>
        <w:spacing w:line="270" w:lineRule="exact" w:after="120"/>
      </w:pPr>
      <w:r>
        <w:rPr>
          <w:rFonts w:ascii="EB Garamond" w:hAnsi="EB Garamond" w:eastAsia="EB Garamond" w:cs="EB Garamond"/>
          <w:color w:val="1F2D33"/>
          <w:sz w:val="18"/>
          <w:szCs w:val="18"/>
          <w:b w:val="0"/>
          <w:bCs w:val="0"/>
          <w:i w:val="0"/>
          <w:iCs w:val="0"/>
        </w:rPr>
        <w:t xml:space="preserve">Uscita — Sufficiente quando è possibile fermarsi, tornare indietro, cambiare fornitore o scegliere un’alternativa, esistono portabilità e interoperabilità e il piano d’uscita viene provato secondo un calendario. Bloccante quando rifiutare significa perdere lavoro, cure, istruzione o un servizio essenziale senza un’alternativa proporzionata.</w:t>
      </w:r>
    </w:p>
    <w:p>
      <w:pPr>
        <w:keepLines w:val="0"/>
        <w:spacing w:line="270" w:lineRule="exact"/>
      </w:pPr>
      <w:r>
        <w:rPr>
          <w:rFonts w:ascii="EB Garamond" w:hAnsi="EB Garamond" w:eastAsia="EB Garamond" w:cs="EB Garamond"/>
          <w:color w:val="1F2D33"/>
          <w:sz w:val="18"/>
          <w:szCs w:val="18"/>
        </w:rPr>
        <w:t xml:space="preserve">Irrisolta è tutto ciò che sta fra le due: la risposta esiste ma manca un elemento, e per quell’elemento sono indicati un responsabile e una scadenza.</w:t>
      </w:r>
    </w:p>
    <w:p>
      <w:pPr>
        <w:pStyle w:val="Heading1"/>
        <w:spacing w:line="460" w:lineRule="exact"/>
      </w:pPr>
      <w:r>
        <w:rPr>
          <w:rFonts w:ascii="EB Garamond" w:hAnsi="EB Garamond" w:eastAsia="EB Garamond" w:cs="EB Garamond"/>
          <w:sz w:val="40"/>
          <w:szCs w:val="40"/>
          <w:color w:val="183445"/>
        </w:rPr>
        <w:t xml:space="preserve">La regola decisionale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4084"/>
        <w:gridCol w:w="4083"/>
      </w:tblGrid>
      <w:tr>
        <w:trPr>
          <w:tblHeader w:val="true"/>
          <w:cantSplit/>
        </w:trPr>
        <w:tc>
          <w:tcPr>
            <w:tcW w:type="dxa" w:w="167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Stato della risposta</w:t>
            </w:r>
          </w:p>
        </w:tc>
        <w:tc>
          <w:tcPr>
            <w:tcW w:type="dxa" w:w="408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Prima dell’uso</w:t>
            </w:r>
          </w:p>
        </w:tc>
        <w:tc>
          <w:tcPr>
            <w:tcW w:type="dxa" w:w="408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Durante l’uso</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Almeno una Bloccante</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Non delegare</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Interrompere</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Nessuna Bloccante, almeno una Irrisolta</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Limitare e provare, con effetti reversibili, un responsabile, evidenza, una scadenza e un meccanismo d’arresto già stabilito per iscritto.</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Limitare e provare, con effetti reversibili, un responsabile, evidenza, una scadenza e un meccanismo d’arresto già stabilito per iscritto.</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Tutte Sufficiente</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Procedere consentito, con condizioni e data di riesame; resta possibile un Non delegare motivato</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Procedere consentito, mantenendo la data di riesame</w:t>
            </w:r>
          </w:p>
        </w:tc>
      </w:tr>
    </w:tbl>
    <w:p>
      <w:pPr>
        <w:keepLines w:val="0"/>
        <w:spacing w:line="270" w:lineRule="exact"/>
      </w:pPr>
      <w:r>
        <w:rPr>
          <w:rFonts w:ascii="EB Garamond" w:hAnsi="EB Garamond" w:eastAsia="EB Garamond" w:cs="EB Garamond"/>
          <w:color w:val="1F2D33"/>
          <w:sz w:val="18"/>
          <w:szCs w:val="18"/>
        </w:rPr>
        <w:t xml:space="preserve">Quando sono in gioco salute, libertà, reddito, istruzione, identità, servizi essenziali o sicurezza, una risposta Irrisolta su Mandato, Danno, Ricorso o Uscita vale come Bloccante.</w:t>
      </w:r>
    </w:p>
    <w:p>
      <w:pPr>
        <w:pStyle w:val="Heading1"/>
        <w:spacing w:line="460" w:lineRule="exact"/>
        <w:pageBreakBefore w:val="1"/>
      </w:pPr>
      <w:r>
        <w:rPr>
          <w:rFonts w:ascii="EB Garamond" w:hAnsi="EB Garamond" w:eastAsia="EB Garamond" w:cs="EB Garamond"/>
          <w:sz w:val="40"/>
          <w:szCs w:val="40"/>
          <w:color w:val="183445"/>
        </w:rPr>
        <w:t xml:space="preserve">Scheda compilabile del Test del 2050</w:t>
      </w:r>
    </w:p>
    <w:p>
      <w:pPr>
        <w:keepLines w:val="0"/>
        <w:spacing w:line="270" w:lineRule="exact"/>
      </w:pPr>
      <w:r>
        <w:rPr>
          <w:rFonts w:ascii="EB Garamond" w:hAnsi="EB Garamond" w:eastAsia="EB Garamond" w:cs="EB Garamond"/>
          <w:color w:val="1F2D33"/>
          <w:sz w:val="18"/>
          <w:szCs w:val="18"/>
        </w:rPr>
        <w:t xml:space="preserve">Usare le pagine della scheda per identificare il caso e rispondere alle sette domande, quindi registrare monitoraggio, decisione e riesame. Compilarle con fatti datati. Sufficiente vale soltanto entro il perimetro scritto. Per Irrisolta, indicare l’evidenza necessaria e assegnare un responsabile e una scadenza. Bloccante restringe o ferma l’autorizzazione. I benefici non compensano l’assenza di Ricorso, Uscita o autorità d’arresto.</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428"/>
        <w:gridCol w:w="5412"/>
      </w:tblGrid>
      <w:tr>
        <w:trPr>
          <w:tblHeader w:val="true"/>
          <w:cantSplit/>
        </w:trPr>
        <w:tc>
          <w:tcPr>
            <w:tcW w:type="dxa" w:w="442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Pagina 1 - Scheda minima</w:t>
            </w:r>
          </w:p>
        </w:tc>
        <w:tc>
          <w:tcPr>
            <w:tcW w:type="dxa" w:w="541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Compilazione</w:t>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Problema, beneficiari e criterio di successo</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Decisione o servizio inciso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Sistema, versione, fornitore e dipendenze essenziali</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34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Modalità richiesta (le modalità possono combinarsi per compito)</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t xml:space="preserve">[ ] Assiste  [ ] Propone  [ ] Decide  [ ] Esegue</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Dati necessari e dati vietati</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Persone esposte e gruppi meno tutelati</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Conseguenza inaccettabile</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Comprensibilità verificata e caso limite usato</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Autorità di sospensione e modalità degradata</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Compilatore, ruolo e responsabile della decisione</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Data, evento di riesame e fine prevista</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Tempo al danno stimato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Tempo d’intervento misurato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34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Tempo d’intervento &lt; tempo al danno?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Sì  [ ] No  [ ] non misurato</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Costo della non-adozione: chi attende, per quanto tempo e con quale danno</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Stato del costo della non-adozione</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Sufficiente   [ ] Irrisolta   [ ] Bloccante</w:t>
            </w:r>
          </w:p>
          <w:p>
            <w:pPr>
              <w:spacing w:after="0" w:line="240" w:lineRule="auto"/>
            </w:pPr>
            <w:r>
              <w:rPr>
                <w:rFonts w:ascii="EB Garamond" w:hAnsi="EB Garamond" w:eastAsia="EB Garamond" w:cs="EB Garamond"/>
                <w:b w:val="0"/>
                <w:color w:val="1F2D33"/>
                <w:sz w:val="17"/>
                <w:szCs w:val="17"/>
              </w:rPr>
              <w:t xml:space="preserve">Questo stato qualifica la stima e alimenta Scopo, Distribuzione e Danno; non è un’ottava domanda.</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 sette domande - Scopo e Mandato</w:t>
      </w:r>
    </w:p>
    <w:p>
      <w:pPr>
        <w:pStyle w:val="Heading2"/>
        <w:spacing w:line="360" w:lineRule="exact"/>
      </w:pPr>
      <w:r>
        <w:rPr>
          <w:rFonts w:ascii="EB Garamond" w:hAnsi="EB Garamond" w:eastAsia="EB Garamond" w:cs="EB Garamond"/>
          <w:sz w:val="30"/>
          <w:szCs w:val="30"/>
          <w:color w:val="B04A35"/>
        </w:rPr>
        <w:t xml:space="preserve">1. Scopo</w:t>
      </w:r>
    </w:p>
    <w:p>
      <w:pPr>
        <w:keepLines w:val="0"/>
        <w:spacing w:line="270" w:lineRule="exact"/>
      </w:pPr>
      <w:r>
        <w:rPr>
          <w:rFonts w:ascii="EB Garamond" w:hAnsi="EB Garamond" w:eastAsia="EB Garamond" w:cs="EB Garamond"/>
          <w:color w:val="1F2D33"/>
          <w:sz w:val="18"/>
          <w:szCs w:val="18"/>
        </w:rPr>
        <w:t xml:space="preserve">Quale problema osservabile viene affrontato, per chi e con quale criterio di miglioramento? Quale alternativa meno invasiva e quale costo del non intervenire sono stati confrontati?</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2. Mandato</w:t>
      </w:r>
    </w:p>
    <w:p>
      <w:pPr>
        <w:keepLines w:val="0"/>
        <w:spacing w:line="270" w:lineRule="exact"/>
      </w:pPr>
      <w:r>
        <w:rPr>
          <w:rFonts w:ascii="EB Garamond" w:hAnsi="EB Garamond" w:eastAsia="EB Garamond" w:cs="EB Garamond"/>
          <w:color w:val="1F2D33"/>
          <w:sz w:val="18"/>
          <w:szCs w:val="18"/>
        </w:rPr>
        <w:t xml:space="preserve">Per ciascun compito, quale modalità si applica al sistema—Assiste, Propone, Decide o Esegue? Quali dati, persone, luoghi, durata e volume ne delimitano il potere? Quali azioni sono vietate e chi può fermarlo?</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 sette domande - Prova e Distribuzione</w:t>
      </w:r>
    </w:p>
    <w:p>
      <w:pPr>
        <w:pStyle w:val="Heading2"/>
        <w:spacing w:line="360" w:lineRule="exact"/>
      </w:pPr>
      <w:r>
        <w:rPr>
          <w:rFonts w:ascii="EB Garamond" w:hAnsi="EB Garamond" w:eastAsia="EB Garamond" w:cs="EB Garamond"/>
          <w:sz w:val="30"/>
          <w:szCs w:val="30"/>
          <w:color w:val="B04A35"/>
        </w:rPr>
        <w:t xml:space="preserve">3. Prova</w:t>
      </w:r>
    </w:p>
    <w:p>
      <w:pPr>
        <w:keepLines w:val="0"/>
        <w:spacing w:line="270" w:lineRule="exact"/>
      </w:pPr>
      <w:r>
        <w:rPr>
          <w:rFonts w:ascii="EB Garamond" w:hAnsi="EB Garamond" w:eastAsia="EB Garamond" w:cs="EB Garamond"/>
          <w:color w:val="1F2D33"/>
          <w:sz w:val="18"/>
          <w:szCs w:val="18"/>
        </w:rPr>
        <w:t xml:space="preserve">Quali fonti, dati, prestazioni nel contesto, limiti e casi di fallimento sostengono la scelta? La comprensibilità è stata verificata nel tempo disponibile su un caso ordinario e uno limite?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4. Distribuzione</w:t>
      </w:r>
    </w:p>
    <w:p>
      <w:pPr>
        <w:keepLines w:val="0"/>
        <w:spacing w:line="270" w:lineRule="exact"/>
      </w:pPr>
      <w:r>
        <w:rPr>
          <w:rFonts w:ascii="EB Garamond" w:hAnsi="EB Garamond" w:eastAsia="EB Garamond" w:cs="EB Garamond"/>
          <w:color w:val="1F2D33"/>
          <w:sz w:val="18"/>
          <w:szCs w:val="18"/>
        </w:rPr>
        <w:t xml:space="preserve">Chi riceve benefici, tempo o potere e chi sostiene lavoro, rischio, costi materiali, formazione o difficoltà di contestazione dell’esito? Chi sostiene il costo durante le correzioni e se la delega non parte?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 sette domande - Danno e Ricorso</w:t>
      </w:r>
    </w:p>
    <w:p>
      <w:pPr>
        <w:pStyle w:val="Heading2"/>
        <w:spacing w:line="360" w:lineRule="exact"/>
      </w:pPr>
      <w:r>
        <w:rPr>
          <w:rFonts w:ascii="EB Garamond" w:hAnsi="EB Garamond" w:eastAsia="EB Garamond" w:cs="EB Garamond"/>
          <w:sz w:val="30"/>
          <w:szCs w:val="30"/>
          <w:color w:val="B04A35"/>
        </w:rPr>
        <w:t xml:space="preserve">5. Danno</w:t>
      </w:r>
    </w:p>
    <w:p>
      <w:pPr>
        <w:keepLines w:val="0"/>
        <w:spacing w:line="270" w:lineRule="exact"/>
      </w:pPr>
      <w:r>
        <w:rPr>
          <w:rFonts w:ascii="EB Garamond" w:hAnsi="EB Garamond" w:eastAsia="EB Garamond" w:cs="EB Garamond"/>
          <w:color w:val="1F2D33"/>
          <w:sz w:val="18"/>
          <w:szCs w:val="18"/>
        </w:rPr>
        <w:t xml:space="preserve">Quale fallimento plausibile può verificarsi, quanto è grave e reversibile e quanto tempo passa prima che diventi difficile correggerlo? Quale soglia è inaccettabile e quale riparazione resta possibile?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6. Ricorso</w:t>
      </w:r>
    </w:p>
    <w:p>
      <w:pPr>
        <w:keepLines w:val="0"/>
        <w:spacing w:line="270" w:lineRule="exact"/>
      </w:pPr>
      <w:r>
        <w:rPr>
          <w:rFonts w:ascii="EB Garamond" w:hAnsi="EB Garamond" w:eastAsia="EB Garamond" w:cs="EB Garamond"/>
          <w:color w:val="1F2D33"/>
          <w:sz w:val="18"/>
          <w:szCs w:val="18"/>
        </w:rPr>
        <w:t xml:space="preserve">La persona che subisce l’esito riceve una notifica comprensibile e accede agli elementi correggibili? Raggiunge in tempo un revisore competente con autorità di sospendere o modificare l’esito e comunicarne le ragioni?</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 sette domande - Uscita e monitoraggio</w:t>
      </w:r>
    </w:p>
    <w:p>
      <w:pPr>
        <w:pStyle w:val="Heading2"/>
        <w:spacing w:line="360" w:lineRule="exact"/>
      </w:pPr>
      <w:r>
        <w:rPr>
          <w:rFonts w:ascii="EB Garamond" w:hAnsi="EB Garamond" w:eastAsia="EB Garamond" w:cs="EB Garamond"/>
          <w:sz w:val="30"/>
          <w:szCs w:val="30"/>
          <w:color w:val="B04A35"/>
        </w:rPr>
        <w:t xml:space="preserve">7. Uscita</w:t>
      </w:r>
    </w:p>
    <w:p>
      <w:pPr>
        <w:keepLines w:val="0"/>
        <w:spacing w:line="270" w:lineRule="exact"/>
      </w:pPr>
      <w:r>
        <w:rPr>
          <w:rFonts w:ascii="EB Garamond" w:hAnsi="EB Garamond" w:eastAsia="EB Garamond" w:cs="EB Garamond"/>
          <w:color w:val="1F2D33"/>
          <w:sz w:val="18"/>
          <w:szCs w:val="18"/>
        </w:rPr>
        <w:t xml:space="preserve">Il sistema può essere fermato o sostituito mantenendo dati, diritti e servizi essenziali? Configurazioni, permessi e registri sono riutilizzabili? La modalità degradata è stata provata? Quando è avvenuta l’ultima prova reale e chi ne sostiene il costo?</w:t>
      </w:r>
    </w:p>
    <w:p>
      <w:pPr>
        <w:spacing w:after="40" w:line="270" w:lineRule="exact"/>
      </w:pPr>
      <w:r>
        <w:rPr>
          <w:rFonts w:ascii="EB Garamond" w:hAnsi="EB Garamond" w:eastAsia="EB Garamond" w:cs="EB Garamond"/>
          <w:b/>
          <w:color w:val="183445"/>
          <w:sz w:val="21"/>
          <w:szCs w:val="21"/>
        </w:rPr>
        <w:t xml:space="preserve">Costo del passaggio (tempo, denaro): ________________________</w:t>
      </w:r>
    </w:p>
    <w:p>
      <w:pPr>
        <w:spacing w:after="40" w:line="270" w:lineRule="exact"/>
      </w:pPr>
      <w:r>
        <w:rPr>
          <w:rFonts w:ascii="EB Garamond" w:hAnsi="EB Garamond" w:eastAsia="EB Garamond" w:cs="EB Garamond"/>
          <w:b/>
          <w:color w:val="183445"/>
          <w:sz w:val="21"/>
          <w:szCs w:val="21"/>
        </w:rPr>
        <w:t xml:space="preserve">Prova di portabilità eseguita il: ________________________</w:t>
      </w:r>
    </w:p>
    <w:p>
      <w:pPr>
        <w:spacing w:after="40" w:line="270" w:lineRule="exact"/>
      </w:pPr>
      <w:r>
        <w:rPr>
          <w:rFonts w:ascii="EB Garamond" w:hAnsi="EB Garamond" w:eastAsia="EB Garamond" w:cs="EB Garamond"/>
          <w:b/>
          <w:color w:val="183445"/>
          <w:sz w:val="21"/>
          <w:szCs w:val="21"/>
        </w:rPr>
        <w:t xml:space="preserve">Quota del compito ancora svolta a mano: ________________________</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Passaggio al monitoraggio del ciclo di vita</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231"/>
        <w:gridCol w:w="5609"/>
      </w:tblGrid>
      <w:tr>
        <w:trPr>
          <w:tblHeader w:val="true"/>
          <w:cantSplit/>
        </w:trPr>
        <w:tc>
          <w:tcPr>
            <w:tcW w:type="dxa" w:w="423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Campo di monitoraggio</w:t>
            </w:r>
          </w:p>
        </w:tc>
        <w:tc>
          <w:tcPr>
            <w:tcW w:type="dxa" w:w="560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Aggiornamento</w:t>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Mandato, modalità e versione in vigore</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Benefici e danni osservati rispetto alla scheda</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Eccezioni, incidenti, richieste di Ricorso e correzioni</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Carico di supervisione, formazione e competenza residua</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Ultima prova d’uscita: data, risultato e costo trasferito</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Soglia di restrizione o arresto raggiunta</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Responsabile e prossimo riesame</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Decisione e condizioni</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543"/>
        <w:gridCol w:w="6297"/>
      </w:tblGrid>
      <w:tr>
        <w:trPr>
          <w:tblHeader w:val="true"/>
          <w:cantSplit/>
        </w:trPr>
        <w:tc>
          <w:tcPr>
            <w:tcW w:type="dxa" w:w="35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Campo</w:t>
            </w:r>
          </w:p>
        </w:tc>
        <w:tc>
          <w:tcPr>
            <w:tcW w:type="dxa" w:w="6297"/>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Decisione e condizioni</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Decisione organizzativa</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 ] Procedere [ ] Limitare e provare [ ] Non delegare [ ] Interrompere</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Motivazione</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Evidenze decisive, condizioni contrassegnate Bloccante, costo dell’adozione e costo della non-adozione.</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Perimetro autorizzato</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Compiti, modalità, dati, persone, luoghi, durata e volume.</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Azioni vietate o riservate</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Ciò che resta assegnato a una persona o fuori dal sistema.</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Condizioni prima del via</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Evidenza mancante, responsabile, scadenza e conseguenza se la condizione non viene soddisfatta.</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Monitoraggio</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Indicatori, versione, eccezioni, carico di supervisione e soglie.</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Modalità degradata e arresto</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Servizio che continua, segnale, persona autorizzata e tempo massimo.</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Ricorso e correzione</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Canale, decisore, termine, modifica possibile e propagazione della correzione.</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Alternativa mantenuta e costo del no</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Lavoro, servizio o processo disponibile se la delega non parte o viene fermata.</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Riesame</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o evento che anticipa il riesame; partire dalla versione precedente e mostrare evidenza, soglia e cambiamenti.</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Responsabilità</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Nome, ruolo, dissenso registrato, firma e data.</w:t>
            </w:r>
          </w:p>
        </w:tc>
      </w:tr>
    </w:tbl>
    <w:p>
      <w:pPr>
        <w:spacing w:after="0"/>
      </w:pPr>
    </w:p>
    <w:sectPr>
      <w:headerReference w:type="default" r:id="rId9"/>
      <w:footerReference w:type="default" r:id="rId10"/>
      <w:footerReference w:type="first" r:id="rId11"/>
      <w:headerReference w:type="first" r:id="rId13"/>
      <w:pgSz w:w="11905" w:h="16838"/>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IT-R2.3 - Quadro documentale: luglio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https://www.corneritaliano.com/2050/risorse/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RISORSE UFFICIALI  |  Quaderno operativo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it-IT" w:eastAsia="it-IT"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2050/risorse/" TargetMode="External"/><Relationship Id="rId13"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Quaderno operativo | IT-R2.3 | Italiano | English source V51.2</dc:title>
  <dc:subject>Quaderno operativo | IT-R2.3 | Italiano | English source V51.2</dc:subject>
  <dc:creator>Marco De Prosperis</dc:creator>
  <cp:keywords>2050, EN-US-R2.3, July 2026 documentary snapshot, revised English interior</cp:keywords>
  <dc:description>Quaderno operativo | IT-R2.3 | Italiano | English source V51.2</dc:description>
  <cp:lastModifiedBy>Corner Italiano LLC</cp:lastModifiedBy>
  <cp:revision>2</cp:revision>
  <dcterms:created xsi:type="dcterms:W3CDTF">2013-12-23T23:15:00Z</dcterms:created>
  <dcterms:modified xsi:type="dcterms:W3CDTF">2026-09-10T15:55:33Z</dcterms:modified>
  <cp:category/>
  <dc:language>it-IT</dc:language>
</cp:coreProperties>
</file>