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4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1508760" cy="1005840"/>
            <wp:docPr id="1" name="Picture 1" descr="Corner Italiano editorial logo" title="Corner Italian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rner-italiano-logo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1005840"/>
                    </a:xfrm>
                    <a:prstGeom prst="rect"/>
                  </pic:spPr>
                </pic:pic>
              </a:graphicData>
            </a:graphic>
          </wp:inline>
        </w:drawing>
        <w:rPr>
          <w:rFonts w:ascii="EB Garamond" w:hAnsi="EB Garamond" w:eastAsia="EB Garamond" w:cs="EB Garamond"/>
          <w:sz w:val="21"/>
          <w:szCs w:val="21"/>
        </w:rPr>
      </w:r>
    </w:p>
    <w:p>
      <w:pPr>
        <w:spacing w:before="520" w:after="160" w:line="270" w:lineRule="exact"/>
        <w:jc w:val="center"/>
      </w:pPr>
      <w:r>
        <w:rPr>
          <w:rFonts w:ascii="EB Garamond" w:hAnsi="EB Garamond" w:eastAsia="EB Garamond" w:cs="EB Garamond"/>
          <w:b/>
          <w:color w:val="B04A35"/>
          <w:sz w:val="21"/>
          <w:szCs w:val="21"/>
        </w:rPr>
        <w:t xml:space="preserve">CORNER ITALIANO  |  RISORSE UFFICIALI</w:t>
      </w:r>
    </w:p>
    <w:p>
      <w:pPr>
        <w:pStyle w:val="Title"/>
        <w:jc w:val="center"/>
        <w:spacing w:line="640" w:lineRule="exact"/>
      </w:pPr>
      <w:r>
        <w:rPr>
          <w:rFonts w:ascii="EB Garamond" w:hAnsi="EB Garamond" w:eastAsia="EB Garamond" w:cs="EB Garamond"/>
          <w:b/>
          <w:color w:val="183445"/>
          <w:sz w:val="56"/>
          <w:szCs w:val="56"/>
        </w:rPr>
        <w:t xml:space="preserve">Cronologia essenziale</w:t>
      </w:r>
    </w:p>
    <w:p>
      <w:pPr>
        <w:pStyle w:val="Subtitle"/>
        <w:jc w:val="center"/>
        <w:spacing w:line="320" w:lineRule="exact"/>
      </w:pPr>
      <w:r>
        <w:rPr>
          <w:rFonts w:ascii="EB Garamond" w:hAnsi="EB Garamond" w:eastAsia="EB Garamond" w:cs="EB Garamond"/>
          <w:color w:val="5A686F"/>
          <w:sz w:val="26"/>
          <w:szCs w:val="26"/>
        </w:rPr>
        <w:t xml:space="preserve">Dalla nascita dell’IA alle soglie narrative del 2050</w:t>
      </w:r>
    </w:p>
    <w:p>
      <w:pPr>
        <w:spacing w:before="440" w:line="270" w:lineRule="exact"/>
        <w:jc w:val="center"/>
      </w:pPr>
      <w:r>
        <w:rPr>
          <w:rFonts w:ascii="EB Garamond" w:hAnsi="EB Garamond" w:eastAsia="EB Garamond" w:cs="EB Garamond"/>
          <w:b/>
          <w:color w:val="B04A35"/>
          <w:sz w:val="21"/>
          <w:szCs w:val="21"/>
        </w:rPr>
        <w:t xml:space="preserve">FATTI, SINTESI, NORME E SCENARI</w:t>
      </w:r>
    </w:p>
    <w:p>
      <w:pPr>
        <w:jc w:val="center"/>
        <w:spacing w:line="270" w:lineRule="exact"/>
      </w:pPr>
      <w:r>
        <w:rPr>
          <w:rFonts w:ascii="EB Garamond" w:hAnsi="EB Garamond" w:eastAsia="EB Garamond" w:cs="EB Garamond"/>
          <w:color w:val="183445"/>
          <w:sz w:val="21"/>
          <w:szCs w:val="21"/>
        </w:rPr>
        <w:t xml:space="preserve">Allineato all’interno inglese revisionato · Quadro documentale: luglio 2026 · Versione delle risorse IT-R2.3</w:t>
      </w:r>
    </w:p>
    <w:p>
      <w:pPr>
        <w:spacing w:before="360" w:line="270" w:lineRule="exact"/>
        <w:jc w:val="center"/>
      </w:pPr>
      <w:hyperlink r:id="rId13">
        <w:r>
          <w:rPr>
            <w:rFonts w:ascii="EB Garamond" w:hAnsi="EB Garamond" w:eastAsia="EB Garamond" w:cs="EB Garamond"/>
            <w:color w:val="183445"/>
            <w:u w:val="single"/>
            <w:sz w:val="21"/>
            <w:szCs w:val="21"/>
          </w:rPr>
          <w:t>https://www.corneritaliano.com/2050/risorse/</w:t>
        </w:r>
      </w:hyperlink>
    </w:p>
    <w:p>
      <w:r>
        <w:br w:type="page"/>
        <w:rPr>
          <w:rFonts w:ascii="EB Garamond" w:hAnsi="EB Garamond" w:eastAsia="EB Garamond" w:cs="EB Garamond"/>
          <w:sz w:val="21"/>
          <w:szCs w:val="21"/>
        </w:rPr>
      </w:r>
      <w:pPr/>
    </w:p>
    <w:tbl>
      <w:tblPr>
        <w:tblW w:type="dxa" w:w="9840"/>
        <w:jc w:val="left"/>
        <w:tblLayout w:type="fixed"/>
        <w:tblLook w:firstColumn="1" w:firstRow="1" w:lastColumn="0" w:lastRow="0" w:noHBand="0" w:noVBand="1" w:val="04A0"/>
        <w:tblInd w:w="150" w:type="dxa"/>
        <w:tblBorders>
          <w:top w:val="single" w:sz="7" w:space="0" w:color="B54B2A"/>
          <w:left w:val="single" w:sz="7" w:space="0" w:color="B54B2A"/>
          <w:bottom w:val="single" w:sz="7" w:space="0" w:color="B54B2A"/>
          <w:right w:val="single" w:sz="7" w:space="0" w:color="B54B2A"/>
          <w:insideH w:val="single" w:sz="7" w:space="0" w:color="B54B2A"/>
          <w:insideV w:val="single" w:sz="7" w:space="0" w:color="B54B2A"/>
        </w:tblBorders>
      </w:tblPr>
      <w:tblGrid>
        <w:gridCol w:w="9840"/>
      </w:tblGrid>
      <w:tr>
        <w:trPr>
          <w:cantSplit/>
        </w:trPr>
        <w:tc>
          <w:tcPr>
            <w:tcW w:type="dxa" w:w="9840"/>
            <w:shd w:fill="F7E7E0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after="40" w:line="210" w:lineRule="exact"/>
            </w:pPr>
            <w:r>
              <w:rPr>
                <w:rFonts w:ascii="EB Garamond" w:hAnsi="EB Garamond" w:eastAsia="EB Garamond" w:cs="EB Garamond"/>
                <w:color w:val="1F2D33"/>
                <w:sz w:val="17"/>
                <w:szCs w:val="17"/>
              </w:rPr>
              <w:t xml:space="preserve">METODO  Questa cronologia seleziona tappe che aiutano il lettore a orientarsi nel libro. Ogni voce ne identifica lo stato come fatto o sintesi storica, fatto normativo, scenario narrativo o proposta dell’autore. Le pubblicazioni tecniche sono identificate all’interno dei fatti storici. Le date normative successive al 30 luglio 2026 sono indicate come previste.</w:t>
            </w:r>
          </w:p>
        </w:tc>
      </w:tr>
    </w:tbl>
    <w:p>
      <w:pPr>
        <w:spacing w:after="0"/>
      </w:pPr>
    </w:p>
    <w:tbl>
      <w:tblPr>
        <w:tblW w:type="dxa" w:w="984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C8D2D7"/>
          <w:left w:val="single" w:sz="5" w:space="0" w:color="C8D2D7"/>
          <w:bottom w:val="single" w:sz="5" w:space="0" w:color="C8D2D7"/>
          <w:right w:val="single" w:sz="5" w:space="0" w:color="C8D2D7"/>
          <w:insideH w:val="single" w:sz="5" w:space="0" w:color="C8D2D7"/>
          <w:insideV w:val="single" w:sz="5" w:space="0" w:color="C8D2D7"/>
        </w:tblBorders>
      </w:tblPr>
      <w:tblGrid>
        <w:gridCol w:w="2165"/>
        <w:gridCol w:w="7675"/>
      </w:tblGrid>
      <w:tr>
        <w:trPr>
          <w:tblHeader w:val="true"/>
          <w:cantSplit/>
        </w:trPr>
        <w:tc>
          <w:tcPr>
            <w:tcW w:type="dxa" w:w="216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Data o periodo</w:t>
            </w:r>
          </w:p>
        </w:tc>
        <w:tc>
          <w:tcPr>
            <w:tcW w:type="dxa" w:w="76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Tappa e qualificazione</w:t>
            </w:r>
          </w:p>
        </w:tc>
      </w:tr>
      <w:tr>
        <w:trPr>
          <w:cantSplit/>
        </w:trPr>
        <w:tc>
          <w:tcPr>
            <w:tcW w:type="dxa" w:w="216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>1950</w:t>
            </w:r>
          </w:p>
        </w:tc>
        <w:tc>
          <w:tcPr>
            <w:tcW w:type="dxa" w:w="76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Fatto storico. Alan Turing pubblica «Computing Machinery and Intelligence» e sostituisce la domanda astratta «Le macchine possono pensare?» con il gioco dell’imitazione, spostando l’attenzione sul comportamento osservabile.</w:t>
            </w:r>
          </w:p>
        </w:tc>
      </w:tr>
      <w:tr>
        <w:trPr>
          <w:cantSplit/>
        </w:trPr>
        <w:tc>
          <w:tcPr>
            <w:tcW w:type="dxa" w:w="216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>1955-1956</w:t>
            </w:r>
          </w:p>
        </w:tc>
        <w:tc>
          <w:tcPr>
            <w:tcW w:type="dxa" w:w="76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Fatto storico. John McCarthy, Marvin Minsky, Nathaniel Rochester e Claude Shannon preparano la proposta per il seminario estivo di Dartmouth; l’espressione intelligenza artificiale diventa l’insegna di un nuovo campo di ricerca.</w:t>
            </w:r>
          </w:p>
        </w:tc>
      </w:tr>
      <w:tr>
        <w:trPr>
          <w:cantSplit/>
        </w:trPr>
        <w:tc>
          <w:tcPr>
            <w:tcW w:type="dxa" w:w="216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Fine degli anni 1950</w:t>
            </w:r>
          </w:p>
        </w:tc>
        <w:tc>
          <w:tcPr>
            <w:tcW w:type="dxa" w:w="76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Sintesi storica. Il perceptron di Frank Rosenblatt incoraggia l’idea che una macchina possa imparare dagli esempi, mentre hardware, dati e metodi restano limitati.</w:t>
            </w:r>
          </w:p>
        </w:tc>
      </w:tr>
      <w:tr>
        <w:trPr>
          <w:cantSplit/>
        </w:trPr>
        <w:tc>
          <w:tcPr>
            <w:tcW w:type="dxa" w:w="216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>1966</w:t>
            </w:r>
          </w:p>
        </w:tc>
        <w:tc>
          <w:tcPr>
            <w:tcW w:type="dxa" w:w="76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Fatto storico. Joseph Weizenbaum presenta ELIZA, un programma semplice capace di produrre, attraverso regole e parole chiave, una sorprendente impressione di ascolto.</w:t>
            </w:r>
          </w:p>
        </w:tc>
      </w:tr>
      <w:tr>
        <w:trPr>
          <w:cantSplit/>
        </w:trPr>
        <w:tc>
          <w:tcPr>
            <w:tcW w:type="dxa" w:w="216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>1969</w:t>
            </w:r>
          </w:p>
        </w:tc>
        <w:tc>
          <w:tcPr>
            <w:tcW w:type="dxa" w:w="76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Fatto e sintesi storica. Marvin Minsky e Seymour Papert analizzano i limiti dei perceptron semplici. I successivi inverni dell’IA riflettono anche il divario fra promesse, finanziamenti, calcolo e risultati.</w:t>
            </w:r>
          </w:p>
        </w:tc>
      </w:tr>
      <w:tr>
        <w:trPr>
          <w:cantSplit/>
        </w:trPr>
        <w:tc>
          <w:tcPr>
            <w:tcW w:type="dxa" w:w="216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>1969</w:t>
            </w:r>
          </w:p>
        </w:tc>
        <w:tc>
          <w:tcPr>
            <w:tcW w:type="dxa" w:w="76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Storia delle infrastrutture. ARPANET trasmette il suo primo messaggio fra due nodi, rendendo concreta una rete a commutazione di pacchetto e aprendo la strada ad architetture di comunicazione più ampie.</w:t>
            </w:r>
          </w:p>
        </w:tc>
      </w:tr>
      <w:tr>
        <w:trPr>
          <w:cantSplit/>
        </w:trPr>
        <w:tc>
          <w:tcPr>
            <w:tcW w:type="dxa" w:w="216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1 gennaio 1983</w:t>
            </w:r>
          </w:p>
        </w:tc>
        <w:tc>
          <w:tcPr>
            <w:tcW w:type="dxa" w:w="76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Storia delle infrastrutture. ARPANET completa il passaggio a TCP/IP: reti diverse possono comunicare attraverso una famiglia comune di protocolli, un passo decisivo verso Internet come rete di reti.</w:t>
            </w:r>
          </w:p>
        </w:tc>
      </w:tr>
      <w:tr>
        <w:trPr>
          <w:cantSplit/>
        </w:trPr>
        <w:tc>
          <w:tcPr>
            <w:tcW w:type="dxa" w:w="216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>1986</w:t>
            </w:r>
          </w:p>
        </w:tc>
        <w:tc>
          <w:tcPr>
            <w:tcW w:type="dxa" w:w="76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Fatto storico. David Rumelhart, Geoffrey Hinton e Ronald Williams dimostrano, con un lavoro influente, come la retropropagazione possa addestrare reti multistrato.</w:t>
            </w:r>
          </w:p>
        </w:tc>
      </w:tr>
      <w:tr>
        <w:trPr>
          <w:cantSplit/>
        </w:trPr>
        <w:tc>
          <w:tcPr>
            <w:tcW w:type="dxa" w:w="216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>1989-1991</w:t>
            </w:r>
          </w:p>
        </w:tc>
        <w:tc>
          <w:tcPr>
            <w:tcW w:type="dxa" w:w="76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Storia delle infrastrutture. Tim Berners-Lee propone il World Wide Web al CERN nel 1989, sviluppa il primo browser e il primo server e nel 1991 il progetto comincia a uscire dal laboratorio, aprendo la rete alla navigazione ipertestuale.</w:t>
            </w:r>
          </w:p>
        </w:tc>
      </w:tr>
      <w:tr>
        <w:trPr>
          <w:cantSplit/>
        </w:trPr>
        <w:tc>
          <w:tcPr>
            <w:tcW w:type="dxa" w:w="216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>1997</w:t>
            </w:r>
          </w:p>
        </w:tc>
        <w:tc>
          <w:tcPr>
            <w:tcW w:type="dxa" w:w="76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Fatto storico. Deep Blue sconfigge Garry Kasparov in un incontro di sei partite, rendendo visibile a un vasto pubblico la potenza del calcolo in un ambito dalle regole chiuse.</w:t>
            </w:r>
          </w:p>
        </w:tc>
      </w:tr>
      <w:tr>
        <w:trPr>
          <w:cantSplit/>
        </w:trPr>
        <w:tc>
          <w:tcPr>
            <w:tcW w:type="dxa" w:w="216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Dagli anni 1990 ai primi anni 2000</w:t>
            </w:r>
          </w:p>
        </w:tc>
        <w:tc>
          <w:tcPr>
            <w:tcW w:type="dxa" w:w="76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Sintesi storica. Internet, il Web e i servizi mobili trasformano la rete da ambiente specialistico a infrastruttura quotidiana; archivi, identità, comunicazioni e servizi dipendono sempre più da sistemi interconnessi.</w:t>
            </w:r>
          </w:p>
        </w:tc>
      </w:tr>
      <w:tr>
        <w:trPr>
          <w:cantSplit/>
        </w:trPr>
        <w:tc>
          <w:tcPr>
            <w:tcW w:type="dxa" w:w="216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>2012</w:t>
            </w:r>
          </w:p>
        </w:tc>
        <w:tc>
          <w:tcPr>
            <w:tcW w:type="dxa" w:w="76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Fatto storico. AlexNet ottiene un risultato nettamente migliore nella competizione ImageNet usando processori grafici e rende visibile l’accelerazione dell’apprendimento profondo nel riconoscimento delle immagini.</w:t>
            </w:r>
          </w:p>
        </w:tc>
      </w:tr>
      <w:tr>
        <w:trPr>
          <w:cantSplit/>
        </w:trPr>
        <w:tc>
          <w:tcPr>
            <w:tcW w:type="dxa" w:w="216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>2017</w:t>
            </w:r>
          </w:p>
        </w:tc>
        <w:tc>
          <w:tcPr>
            <w:tcW w:type="dxa" w:w="76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Fatto storico. «Attention Is All You Need» presenta l’architettura Transformer, che diventerà centrale nei modelli linguistici di grandi dimensioni e in molti sistemi generativi.</w:t>
            </w:r>
          </w:p>
        </w:tc>
      </w:tr>
      <w:tr>
        <w:trPr>
          <w:cantSplit/>
        </w:trPr>
        <w:tc>
          <w:tcPr>
            <w:tcW w:type="dxa" w:w="216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30 novembre 2022</w:t>
            </w:r>
          </w:p>
        </w:tc>
        <w:tc>
          <w:tcPr>
            <w:tcW w:type="dxa" w:w="76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Fatto storico. ChatGPT viene presentato al pubblico come anteprima di ricerca e rende l’IA conversazionale accessibile su scala quotidiana.</w:t>
            </w:r>
          </w:p>
        </w:tc>
      </w:tr>
      <w:tr>
        <w:trPr>
          <w:cantSplit/>
        </w:trPr>
        <w:tc>
          <w:tcPr>
            <w:tcW w:type="dxa" w:w="216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Anni 2010 e 2020</w:t>
            </w:r>
          </w:p>
        </w:tc>
        <w:tc>
          <w:tcPr>
            <w:tcW w:type="dxa" w:w="76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Sintesi storica. Servizi cloud, data center, API, piattaforme e oggetti connessi si combinano in un’infrastruttura sempre più invisibile da cui dipendono lavoro, sanità, amministrazione pubblica, mobilità e informazione.</w:t>
            </w:r>
          </w:p>
        </w:tc>
      </w:tr>
      <w:tr>
        <w:trPr>
          <w:cantSplit/>
        </w:trPr>
        <w:tc>
          <w:tcPr>
            <w:tcW w:type="dxa" w:w="216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1 agosto 2024</w:t>
            </w:r>
          </w:p>
        </w:tc>
        <w:tc>
          <w:tcPr>
            <w:tcW w:type="dxa" w:w="76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Fatto normativo. Entra in vigore il regolamento (UE) 2024/1689, noto come AI Act. Le sue disposizioni si applicano progressivamente; la data non significa che tutti gli obblighi diventino efficaci contemporaneamente.</w:t>
            </w:r>
          </w:p>
        </w:tc>
      </w:tr>
      <w:tr>
        <w:trPr>
          <w:cantSplit/>
        </w:trPr>
        <w:tc>
          <w:tcPr>
            <w:tcW w:type="dxa" w:w="216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2 febbraio 2025</w:t>
            </w:r>
          </w:p>
        </w:tc>
        <w:tc>
          <w:tcPr>
            <w:tcW w:type="dxa" w:w="76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Fatto normativo. Iniziano ad applicarsi le disposizioni dell’AI Act sulle pratiche vietate e l’obbligo originario di alfabetizzazione in materia di IA. La modifica del luglio 2026 riformula successivamente l’articolo 4 come obbligo di sostenere lo sviluppo dell’alfabetizzazione in materia di IA. [SRC-S34-001] [SRC-EU-AI-OMNIBUS26]</w:t>
            </w:r>
          </w:p>
        </w:tc>
      </w:tr>
      <w:tr>
        <w:trPr>
          <w:cantSplit/>
        </w:trPr>
        <w:tc>
          <w:tcPr>
            <w:tcW w:type="dxa" w:w="216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15 maggio 2025</w:t>
            </w:r>
          </w:p>
        </w:tc>
        <w:tc>
          <w:tcPr>
            <w:tcW w:type="dxa" w:w="76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Fatto storico, norme tecniche. Il W3C pubblica Verifiable Credentials Data Model v2.0, Verifiable Credential Data Integrity 1.0 e Securing Verifiable Credentials Using JOSE and COSE come Raccomandazioni. [SRC-W3C-VC20] [SRC-W3C-DI] [SRC-W3C-JOSE]</w:t>
            </w:r>
          </w:p>
        </w:tc>
      </w:tr>
      <w:tr>
        <w:trPr>
          <w:cantSplit/>
        </w:trPr>
        <w:tc>
          <w:tcPr>
            <w:tcW w:type="dxa" w:w="216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9 luglio 2025</w:t>
            </w:r>
          </w:p>
        </w:tc>
        <w:tc>
          <w:tcPr>
            <w:tcW w:type="dxa" w:w="76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Fatto storico, specifica tecnica. OpenID for Verifiable Presentations 1.0 diventa una specifica definitiva per i flussi di presentazione delle credenziali. [SRC-OID4VP]</w:t>
            </w:r>
          </w:p>
        </w:tc>
      </w:tr>
      <w:tr>
        <w:trPr>
          <w:cantSplit/>
        </w:trPr>
        <w:tc>
          <w:tcPr>
            <w:tcW w:type="dxa" w:w="216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10 luglio 2025</w:t>
            </w:r>
          </w:p>
        </w:tc>
        <w:tc>
          <w:tcPr>
            <w:tcW w:type="dxa" w:w="76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Fatto normativo, orientamenti volontari. Viene pubblicato il General-Purpose AI Code of Practice definitivo per sostenere la conformità all’AI Act. Il codice è uno strumento volontario. [SRC-S34-021]</w:t>
            </w:r>
          </w:p>
        </w:tc>
      </w:tr>
      <w:tr>
        <w:trPr>
          <w:cantSplit/>
        </w:trPr>
        <w:tc>
          <w:tcPr>
            <w:tcW w:type="dxa" w:w="216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Luglio 2025</w:t>
            </w:r>
          </w:p>
        </w:tc>
        <w:tc>
          <w:tcPr>
            <w:tcW w:type="dxa" w:w="76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Fatto storico, norma tecnica. Il NIST pubblica le Digital Identity Guidelines definitive, Special Publication 800-63-4. [SRC-NIST-ID4]</w:t>
            </w:r>
          </w:p>
        </w:tc>
      </w:tr>
      <w:tr>
        <w:trPr>
          <w:cantSplit/>
        </w:trPr>
        <w:tc>
          <w:tcPr>
            <w:tcW w:type="dxa" w:w="216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2 agosto 2025</w:t>
            </w:r>
          </w:p>
        </w:tc>
        <w:tc>
          <w:tcPr>
            <w:tcW w:type="dxa" w:w="76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Fatto normativo. Iniziano ad applicarsi gli obblighi dell’articolo 53 dell’AI Act per i fornitori di modelli di IA per finalità generali, secondo l’ambito e le disposizioni transitorie previsti. I modelli immessi sul mercato prima di questa data hanno una scadenza di adeguamento successiva. [SRC-S34-001] [SRC-S34-021]</w:t>
            </w:r>
          </w:p>
        </w:tc>
      </w:tr>
      <w:tr>
        <w:trPr>
          <w:cantSplit/>
        </w:trPr>
        <w:tc>
          <w:tcPr>
            <w:tcW w:type="dxa" w:w="216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16 settembre 2025</w:t>
            </w:r>
          </w:p>
        </w:tc>
        <w:tc>
          <w:tcPr>
            <w:tcW w:type="dxa" w:w="76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Fatto storico, specifica tecnica. OpenID for Verifiable Credential Issuance 1.0 diventa una specifica definitiva per i flussi di rilascio delle credenziali. [SRC-OID4VCI]</w:t>
            </w:r>
          </w:p>
        </w:tc>
      </w:tr>
      <w:tr>
        <w:trPr>
          <w:cantSplit/>
        </w:trPr>
        <w:tc>
          <w:tcPr>
            <w:tcW w:type="dxa" w:w="216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10 giugno 2026</w:t>
            </w:r>
          </w:p>
        </w:tc>
        <w:tc>
          <w:tcPr>
            <w:tcW w:type="dxa" w:w="76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Fatto normativo, orientamenti volontari. Viene pubblicato il Code of Practice on Transparency of AI-Generated Content definitivo. Fornisce orientamenti su marcatura ed etichettatura, ma la sola adesione non dimostra la conformità all’articolo 50. [SRC-S34-020]</w:t>
            </w:r>
          </w:p>
        </w:tc>
      </w:tr>
      <w:tr>
        <w:trPr>
          <w:cantSplit/>
        </w:trPr>
        <w:tc>
          <w:tcPr>
            <w:tcW w:type="dxa" w:w="216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8 luglio 2026</w:t>
            </w:r>
          </w:p>
        </w:tc>
        <w:tc>
          <w:tcPr>
            <w:tcW w:type="dxa" w:w="76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Fatto normativo. Viene adottato il regolamento (UE) 2026/1744, il Digital Omnibus on AI. L’adozione è distinta dalla pubblicazione e dall’entrata in vigore. [SRC-EU-AI-OMNIBUS26]</w:t>
            </w:r>
          </w:p>
        </w:tc>
      </w:tr>
      <w:tr>
        <w:trPr>
          <w:cantSplit/>
        </w:trPr>
        <w:tc>
          <w:tcPr>
            <w:tcW w:type="dxa" w:w="216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23 luglio 2026</w:t>
            </w:r>
          </w:p>
        </w:tc>
        <w:tc>
          <w:tcPr>
            <w:tcW w:type="dxa" w:w="76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Fatto storico, quadro tecnico. Viene pubblicata la versione 3.0.0 dell’European Digital Identity Wallet Architecture and Reference Framework. Il quadro tecnico sostiene l’attuazione ed è distinto dagli obblighi giuridici. [SRC-S34-009]</w:t>
            </w:r>
          </w:p>
        </w:tc>
      </w:tr>
      <w:tr>
        <w:trPr>
          <w:cantSplit/>
        </w:trPr>
        <w:tc>
          <w:tcPr>
            <w:tcW w:type="dxa" w:w="216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24 luglio 2026</w:t>
            </w:r>
          </w:p>
        </w:tc>
        <w:tc>
          <w:tcPr>
            <w:tcW w:type="dxa" w:w="76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Fatto normativo. Il regolamento (UE) 2026/1744 viene pubblicato nella Gazzetta ufficiale dell’Unione europea. [SRC-EU-AI-OMNIBUS26]</w:t>
            </w:r>
          </w:p>
        </w:tc>
      </w:tr>
      <w:tr>
        <w:trPr>
          <w:cantSplit/>
        </w:trPr>
        <w:tc>
          <w:tcPr>
            <w:tcW w:type="dxa" w:w="216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27 luglio 2026</w:t>
            </w:r>
          </w:p>
        </w:tc>
        <w:tc>
          <w:tcPr>
            <w:tcW w:type="dxa" w:w="76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Fatto normativo. Entra in vigore il regolamento (UE) 2026/1744. Gli obblighi dell’AI Act restano soggetti alle rispettive date di applicazione e disposizioni transitorie. [SRC-EU-AI-OMNIBUS26] [SRC-S34-001]</w:t>
            </w:r>
          </w:p>
        </w:tc>
      </w:tr>
      <w:tr>
        <w:trPr>
          <w:cantSplit/>
        </w:trPr>
        <w:tc>
          <w:tcPr>
            <w:tcW w:type="dxa" w:w="216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2 agosto 2026</w:t>
            </w:r>
          </w:p>
        </w:tc>
        <w:tc>
          <w:tcPr>
            <w:tcW w:type="dxa" w:w="76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Data normativa prevista. È prevista l’applicazione degli obblighi di trasparenza dell’articolo 50, paragrafi (1), (2), (4) e (5), fatte salve eccezioni e disposizioni transitorie. Dalla stessa data è prevista anche l’applicazione dei poteri della Commissione di far rispettare le norme sui modelli di IA per finalità generali. [SRC-S34-001] [SRC-S34-020] [SRC-S34-021]</w:t>
            </w:r>
          </w:p>
        </w:tc>
      </w:tr>
      <w:tr>
        <w:trPr>
          <w:cantSplit/>
        </w:trPr>
        <w:tc>
          <w:tcPr>
            <w:tcW w:type="dxa" w:w="216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2 dicembre 2026</w:t>
            </w:r>
          </w:p>
        </w:tc>
        <w:tc>
          <w:tcPr>
            <w:tcW w:type="dxa" w:w="76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Data normativa prevista. Entro questa data gli Stati membri devono recepire la direttiva sul lavoro mediante piattaforme digitali. È inoltre la fine prevista della transizione dell’articolo 50, paragrafo (2), per i fornitori dei sistemi di contenuti sintetici interessati immessi sul mercato prima del 2 agosto 2026. [SRC-S34-012] [SRC-EU-AI-OMNIBUS26] [SRC-S34-001]</w:t>
            </w:r>
          </w:p>
        </w:tc>
      </w:tr>
      <w:tr>
        <w:trPr>
          <w:cantSplit/>
        </w:trPr>
        <w:tc>
          <w:tcPr>
            <w:tcW w:type="dxa" w:w="216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31 dicembre 2026</w:t>
            </w:r>
          </w:p>
        </w:tc>
        <w:tc>
          <w:tcPr>
            <w:tcW w:type="dxa" w:w="76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Data normativa prevista. In questa data sono previste determinate scadenze relative allo status di Authorized IC Designer e alle relative domande, ai sensi della norma BIS pubblicata il 9 aprile 2026 ed efficace dal 7 aprile 2026. L’applicabilità dipende dalla transazione e dall’ambito della norma. [SRC-BIS-IC-DESIGNER26]</w:t>
            </w:r>
          </w:p>
        </w:tc>
      </w:tr>
      <w:tr>
        <w:trPr>
          <w:cantSplit/>
        </w:trPr>
        <w:tc>
          <w:tcPr>
            <w:tcW w:type="dxa" w:w="216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2 agosto 2027</w:t>
            </w:r>
          </w:p>
        </w:tc>
        <w:tc>
          <w:tcPr>
            <w:tcW w:type="dxa" w:w="76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Data normativa prevista. Entro questa data i fornitori di modelli di IA per finalità generali immessi sul mercato prima del 2 agosto 2025 devono conformarsi agli obblighi applicabili dell’AI Act. [SRC-S34-001] [SRC-S34-021]</w:t>
            </w:r>
          </w:p>
        </w:tc>
      </w:tr>
      <w:tr>
        <w:trPr>
          <w:cantSplit/>
        </w:trPr>
        <w:tc>
          <w:tcPr>
            <w:tcW w:type="dxa" w:w="216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Intorno al 2050</w:t>
            </w:r>
          </w:p>
        </w:tc>
        <w:tc>
          <w:tcPr>
            <w:tcW w:type="dxa" w:w="76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Scenario narrativo. Le vignette, disposte per tema, si estendono su diversi anni. Gli intervalli di quattordici e diciotto mesi appartengono al filo di Asha; i riesami semestrali riguardano Marta e Lidia e Davide. Date future, costi, tempi, quantità, capacità e assetti geopolitici sono parametri degli scenari, non previsioni o valori osservati. Gli scenari comprendono progetti limitati, interrotti e non adottati.</w:t>
            </w:r>
          </w:p>
        </w:tc>
      </w:tr>
      <w:tr>
        <w:trPr>
          <w:cantSplit/>
        </w:trPr>
        <w:tc>
          <w:tcPr>
            <w:tcW w:type="dxa" w:w="216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Proposte del libro</w:t>
            </w:r>
          </w:p>
        </w:tc>
        <w:tc>
          <w:tcPr>
            <w:tcW w:type="dxa" w:w="76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Proposta dell’autore. Il Test del 2050, la minimizzazione della prova, il gemello operativo, la licenza viva e la direttiva digitale post mortem sono strumenti da provare, correggere o abbandonare: non sono fatti compiuti, diritto uniforme o previsioni.</w:t>
            </w:r>
          </w:p>
        </w:tc>
      </w:tr>
    </w:tbl>
    <w:p>
      <w:pPr>
        <w:spacing w:after="0"/>
      </w:pPr>
    </w:p>
    <w:p>
      <w:pPr>
        <w:pStyle w:val="Heading1"/>
        <w:spacing w:line="460" w:lineRule="exact"/>
      </w:pPr>
      <w:r>
        <w:rPr>
          <w:rFonts w:ascii="EB Garamond" w:hAnsi="EB Garamond" w:eastAsia="EB Garamond" w:cs="EB Garamond"/>
          <w:sz w:val="40"/>
          <w:szCs w:val="40"/>
          <w:color w:val="183445"/>
        </w:rPr>
        <w:t xml:space="preserve">Come citare la cronologia</w:t>
      </w:r>
    </w:p>
    <w:p>
      <w:pPr>
        <w:keepLines w:val="0"/>
        <w:spacing w:line="270" w:lineRule="exact"/>
      </w:pPr>
      <w:r>
        <w:rPr>
          <w:rFonts w:ascii="EB Garamond" w:hAnsi="EB Garamond" w:eastAsia="EB Garamond" w:cs="EB Garamond"/>
          <w:color w:val="1F2D33"/>
          <w:sz w:val="21"/>
          <w:szCs w:val="21"/>
        </w:rPr>
        <w:t xml:space="preserve">Le voci storiche e normative rimandano alla bibliografia con ricerca del Centro risorse. Usare i codici SRC per individuare le fonti delle tappe aggiunte. Le scene intorno al 2050 restano parametri narrativi, non previsioni. Mettere alla prova le proposte del libro rispetto a evidenze e contesto, quindi decidere se correggerle o abbandonarle.</w:t>
      </w:r>
    </w:p>
    <w:sectPr>
      <w:headerReference w:type="default" r:id="rId9"/>
      <w:footerReference w:type="default" r:id="rId10"/>
      <w:footerReference w:type="first" r:id="rId11"/>
      <w:headerReference w:type="first" r:id="rId14"/>
      <w:pgSz w:w="11905" w:h="16838"/>
      <w:pgMar w:top="1008" w:right="1008" w:bottom="1008" w:left="1008" w:header="432" w:footer="432" w:gutter="0"/>
      <w:cols w:space="720"/>
      <w:titlePg/>
      <w:docGrid w:linePitch="3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EB Garamond">
    <w:altName w:val="Garamond"/>
    <w:charset w:val="00"/>
    <w:family w:val="auto"/>
    <w:pitch w:val="variable"/>
    <w:sig w:usb0="E00002FF" w:usb1="02000413" w:usb2="00000000" w:usb3="00000000" w:csb0="0000019F" w:csb1="00000000"/>
    <w:embedRegular r:id="rId1" w:fontKey="{8803E84C-4695-4705-838C-D4FC599F85E4}"/>
    <w:embedBold r:id="rId2" w:fontKey="{34828F21-0C39-43B1-A4DE-E08636D6C3A3}"/>
    <w:embedItalic r:id="rId3" w:fontKey="{16841129-51C1-4C09-BE4D-4D07B4C2C00A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20" w:val="left"/>
      </w:tabs>
      <w:spacing w:before="0" w:after="0" w:line="200" w:lineRule="exact"/>
    </w:pPr>
    <w:r>
      <w:rPr>
        <w:rFonts w:ascii="EB Garamond" w:hAnsi="EB Garamond" w:eastAsia="EB Garamond" w:cs="EB Garamond"/>
        <w:color w:val="65757D"/>
        <w:sz w:val="16"/>
        <w:szCs w:val="16"/>
      </w:rPr>
      <w:t>2050 - IT-R2.3 - Quadro documentale: luglio 2026</w:t>
    </w:r>
    <w:r>
      <w:tab/>
      <w:rPr>
        <w:rFonts w:ascii="EB Garamond" w:hAnsi="EB Garamond" w:eastAsia="EB Garamond" w:cs="EB Garamond"/>
        <w:sz w:val="16"/>
        <w:szCs w:val="16"/>
        <w:color w:val="65757D"/>
      </w:rPr>
    </w:r>
    <w:r>
      <w:rPr>
        <w:rFonts w:ascii="EB Garamond" w:hAnsi="EB Garamond" w:eastAsia="EB Garamond" w:cs="EB Garamond"/>
        <w:color w:val="65757D"/>
        <w:sz w:val="16"/>
        <w:szCs w:val="16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spacing w:line="200" w:lineRule="exact"/>
    </w:pPr>
    <w:r>
      <w:rPr>
        <w:rFonts w:ascii="EB Garamond" w:hAnsi="EB Garamond" w:eastAsia="EB Garamond" w:cs="EB Garamond"/>
        <w:color w:val="65757D"/>
        <w:sz w:val="16"/>
        <w:szCs w:val="16"/>
      </w:rPr>
      <w:t>https://www.corneritaliano.com/2050/risorse/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00" w:lineRule="exact"/>
      <w:jc w:val="left"/>
    </w:pPr>
    <w:r>
      <w:rPr>
        <w:rFonts w:ascii="EB Garamond" w:hAnsi="EB Garamond" w:eastAsia="EB Garamond" w:cs="EB Garamond"/>
        <w:b/>
        <w:color w:val="65757D"/>
        <w:sz w:val="16"/>
        <w:szCs w:val="16"/>
      </w:rPr>
      <w:t xml:space="preserve">2050  |  RISORSE UFFICIALI  |  Cronologia essenziale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EB Garamond" w:hAnsi="EB Garamond" w:eastAsia="EB Garamond" w:cs="EB Garamond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EB Garamond" w:hAnsi="EB Garamond" w:eastAsia="EB Garamond" w:cs="EB Garamond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EB Garamond" w:hAnsi="EB Garamond" w:eastAsia="EB Garamond" w:cs="EB Garamond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EB Garamond" w:hAnsi="EB Garamond" w:eastAsia="EB Garamond" w:cs="EB Garamond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embedTrueTypeFonts/>
  <w:saveSubsetFont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EB Garamond" w:hAnsi="EB Garamond" w:eastAsia="EB Garamond" w:cs="EB Garamond"/>
        <w:sz w:val="21"/>
        <w:szCs w:val="21"/>
        <w:lang w:val="it-IT" w:eastAsia="it-IT" w:bidi="ar-SA"/>
        <w:color w:val="1F2D33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00" w:line="270" w:lineRule="exact"/>
    </w:pPr>
    <w:rPr>
      <w:rFonts w:ascii="EB Garamond" w:hAnsi="EB Garamond" w:eastAsia="EB Garamond" w:cs="EB Garamond"/>
      <w:color w:val="1F2D33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EB Garamond" w:hAnsi="EB Garamond" w:eastAsia="EB Garamond" w:cs="EB Garamond"/>
      <w:sz w:val="16"/>
      <w:szCs w:val="16"/>
      <w:color w:val="65757D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EB Garamond" w:hAnsi="EB Garamond" w:eastAsia="EB Garamond" w:cs="EB Garamond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EB Garamond" w:hAnsi="EB Garamond" w:eastAsia="EB Garamond" w:cs="EB Garamond"/>
      <w:sz w:val="16"/>
      <w:szCs w:val="16"/>
      <w:color w:val="65757D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EB Garamond" w:hAnsi="EB Garamond" w:eastAsia="EB Garamond" w:cs="EB Garamond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="EB Garamond" w:hAnsi="EB Garamond" w:eastAsia="EB Garamond" w:cs="EB Garamond"/>
      <w:b/>
      <w:bCs/>
      <w:color w:val="183445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EB Garamond" w:hAnsi="EB Garamond" w:eastAsia="EB Garamond" w:cs="EB Garamond"/>
      <w:b/>
      <w:bCs/>
      <w:color w:val="B04A35"/>
      <w:sz w:val="30"/>
      <w:szCs w:val="3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="EB Garamond" w:hAnsi="EB Garamond" w:eastAsia="EB Garamond" w:cs="EB Garamond"/>
      <w:b/>
      <w:bCs/>
      <w:color w:val="183445"/>
      <w:sz w:val="23"/>
      <w:szCs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EB Garamond" w:hAnsi="EB Garamond" w:eastAsia="EB Garamond" w:cs="EB Garamond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EB Garamond" w:hAnsi="EB Garamond" w:eastAsia="EB Garamond" w:cs="EB Garamond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EB Garamond" w:hAnsi="EB Garamond" w:eastAsia="EB Garamond" w:cs="EB Garamond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EB Garamond" w:hAnsi="EB Garamond" w:eastAsia="EB Garamond" w:cs="EB Garamond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EB Garamond" w:hAnsi="EB Garamond" w:eastAsia="EB Garamond" w:cs="EB Garamond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EB Garamond" w:hAnsi="EB Garamond" w:eastAsia="EB Garamond" w:cs="EB Garamond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EB Garamond" w:hAnsi="EB Garamond" w:eastAsia="EB Garamond" w:cs="EB Garamond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rPr>
      <w:rFonts w:ascii="EB Garamond" w:hAnsi="EB Garamond" w:eastAsia="EB Garamond" w:cs="EB Garamond"/>
    </w:rPr>
  </w:style>
  <w:style w:type="numbering" w:default="1" w:styleId="NoList">
    <w:name w:val="No List"/>
    <w:uiPriority w:val="99"/>
    <w:semiHidden/>
    <w:unhideWhenUsed/>
    <w:rPr>
      <w:rFonts w:ascii="EB Garamond" w:hAnsi="EB Garamond" w:eastAsia="EB Garamond" w:cs="EB Garamond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EB Garamond" w:hAnsi="EB Garamond" w:eastAsia="EB Garamond" w:cs="EB Garamond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EB Garamond" w:hAnsi="EB Garamond" w:eastAsia="EB Garamond" w:cs="EB Garamond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EB Garamond" w:hAnsi="EB Garamond" w:eastAsia="EB Garamond" w:cs="EB Garamond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EB Garamond" w:hAnsi="EB Garamond" w:eastAsia="EB Garamond" w:cs="EB Garamond"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="EB Garamond" w:hAnsi="EB Garamond" w:eastAsia="EB Garamond" w:cs="EB Garamond"/>
      <w:b/>
      <w:color w:val="183445"/>
      <w:spacing w:val="5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EB Garamond" w:hAnsi="EB Garamond" w:eastAsia="EB Garamond" w:cs="EB Garamond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40"/>
    </w:pPr>
    <w:rPr>
      <w:rFonts w:ascii="EB Garamond" w:hAnsi="EB Garamond" w:eastAsia="EB Garamond" w:cs="EB Garamond"/>
      <w:b w:val="0"/>
      <w:i/>
      <w:iCs/>
      <w:color w:val="5A686F"/>
      <w:spacing w:val="15"/>
      <w:sz w:val="26"/>
      <w:szCs w:val="26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EB Garamond" w:hAnsi="EB Garamond" w:eastAsia="EB Garamond" w:cs="EB Garamond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EB Garamond" w:hAnsi="EB Garamond" w:eastAsia="EB Garamond" w:cs="EB Garamond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EB Garamond" w:hAnsi="EB Garamond" w:eastAsia="EB Garamond" w:cs="EB Garamond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EB Garamond" w:hAnsi="EB Garamond" w:eastAsia="EB Garamond" w:cs="EB Garamond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EB Garamond" w:hAnsi="EB Garamond" w:eastAsia="EB Garamond" w:cs="EB Garamond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EB Garamond" w:hAnsi="EB Garamond" w:eastAsia="EB Garamond" w:cs="EB Garamond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  <w:rFonts w:ascii="EB Garamond" w:hAnsi="EB Garamond" w:eastAsia="EB Garamond" w:cs="EB Garamond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  <w:rFonts w:ascii="EB Garamond" w:hAnsi="EB Garamond" w:eastAsia="EB Garamond" w:cs="EB Garamond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EB Garamond" w:hAnsi="EB Garamond" w:eastAsia="EB Garamond" w:cs="EB Garamond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EB Garamond" w:hAnsi="EB Garamond" w:eastAsia="EB Garamond" w:cs="EB Garamond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EB Garamond" w:hAnsi="EB Garamond" w:eastAsia="EB Garamond" w:cs="EB Garamond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EB Garamond" w:hAnsi="EB Garamond" w:eastAsia="EB Garamond" w:cs="EB Garamond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EB Garamond" w:hAnsi="EB Garamond" w:eastAsia="EB Garamond" w:cs="EB Garamond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EB Garamond" w:hAnsi="EB Garamond" w:eastAsia="EB Garamond" w:cs="EB Garamond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EB Garamond" w:hAnsi="EB Garamond" w:eastAsia="EB Garamond" w:cs="EB Garamond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EB Garamond" w:hAnsi="EB Garamond" w:eastAsia="EB Garamond" w:cs="EB Garamond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EB Garamond" w:hAnsi="EB Garamond" w:eastAsia="EB Garamond" w:cs="EB Garamond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EB Garamond" w:hAnsi="EB Garamond" w:eastAsia="EB Garamond" w:cs="EB Garamond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EB Garamond" w:hAnsi="EB Garamond" w:eastAsia="EB Garamond" w:cs="EB Garamond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EB Garamond" w:hAnsi="EB Garamond" w:eastAsia="EB Garamond" w:cs="EB Garamond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EB Garamond" w:hAnsi="EB Garamond" w:eastAsia="EB Garamond" w:cs="EB Garamond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EB Garamond" w:hAnsi="EB Garamond" w:eastAsia="EB Garamond" w:cs="EB Garamond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  <w:rFonts w:ascii="EB Garamond" w:hAnsi="EB Garamond" w:eastAsia="EB Garamond" w:cs="EB Garamond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  <w:rFonts w:ascii="EB Garamond" w:hAnsi="EB Garamond" w:eastAsia="EB Garamond" w:cs="EB Garamon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EB Garamond" w:hAnsi="EB Garamond" w:eastAsia="EB Garamond" w:cs="EB Garamond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EB Garamond" w:hAnsi="EB Garamond" w:eastAsia="EB Garamond" w:cs="EB Garamond"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EB Garamond" w:hAnsi="EB Garamond" w:eastAsia="EB Garamond" w:cs="EB Garamond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EB Garamond" w:hAnsi="EB Garamond" w:eastAsia="EB Garamond" w:cs="EB Garamond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EB Garamond" w:hAnsi="EB Garamond" w:eastAsia="EB Garamond" w:cs="EB Garamond"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EB Garamond" w:hAnsi="EB Garamond" w:eastAsia="EB Garamond" w:cs="EB Garamond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/>
      <w:sz w:val="18"/>
      <w:szCs w:val="18"/>
      <w:rFonts w:ascii="EB Garamond" w:hAnsi="EB Garamond" w:eastAsia="EB Garamond" w:cs="EB Garamond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rFonts w:ascii="EB Garamond" w:hAnsi="EB Garamond" w:eastAsia="EB Garamond" w:cs="EB Garamond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rFonts w:ascii="EB Garamond" w:hAnsi="EB Garamond" w:eastAsia="EB Garamond" w:cs="EB Garamon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/>
      <w:rFonts w:ascii="EB Garamond" w:hAnsi="EB Garamond" w:eastAsia="EB Garamond" w:cs="EB Garamon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/>
      <w:rFonts w:ascii="EB Garamond" w:hAnsi="EB Garamond" w:eastAsia="EB Garamond" w:cs="EB Garamon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/>
      <w:rFonts w:ascii="EB Garamond" w:hAnsi="EB Garamond" w:eastAsia="EB Garamond" w:cs="EB Garamond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/>
      <w:rFonts w:ascii="EB Garamond" w:hAnsi="EB Garamond" w:eastAsia="EB Garamond" w:cs="EB Garamon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/>
      <w:u w:val="single"/>
      <w:rFonts w:ascii="EB Garamond" w:hAnsi="EB Garamond" w:eastAsia="EB Garamond" w:cs="EB Garamond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/>
      <w:spacing w:val="5"/>
      <w:u w:val="single"/>
      <w:rFonts w:ascii="EB Garamond" w:hAnsi="EB Garamond" w:eastAsia="EB Garamond" w:cs="EB Garamond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  <w:rFonts w:ascii="EB Garamond" w:hAnsi="EB Garamond" w:eastAsia="EB Garamond" w:cs="EB Garamond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EB Garamond" w:hAnsi="EB Garamond" w:eastAsia="EB Garamond" w:cs="EB Garamond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rPr>
      <w:rFonts w:ascii="EB Garamond" w:hAnsi="EB Garamond" w:eastAsia="EB Garamond" w:cs="EB Garamond"/>
    </w:r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rPr>
      <w:rFonts w:ascii="EB Garamond" w:hAnsi="EB Garamond" w:eastAsia="EB Garamond" w:cs="EB Garamond"/>
    </w:r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rPr>
      <w:rFonts w:ascii="EB Garamond" w:hAnsi="EB Garamond" w:eastAsia="EB Garamond" w:cs="EB Garamond"/>
    </w:r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rPr>
      <w:rFonts w:ascii="EB Garamond" w:hAnsi="EB Garamond" w:eastAsia="EB Garamond" w:cs="EB Garamond"/>
    </w:r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rPr>
      <w:rFonts w:ascii="EB Garamond" w:hAnsi="EB Garamond" w:eastAsia="EB Garamond" w:cs="EB Garamond"/>
    </w:r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rPr>
      <w:rFonts w:ascii="EB Garamond" w:hAnsi="EB Garamond" w:eastAsia="EB Garamond" w:cs="EB Garamond"/>
    </w:r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rPr>
      <w:rFonts w:ascii="EB Garamond" w:hAnsi="EB Garamond" w:eastAsia="EB Garamond" w:cs="EB Garamond"/>
    </w:r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rPr>
      <w:rFonts w:ascii="EB Garamond" w:hAnsi="EB Garamond" w:eastAsia="EB Garamond" w:cs="EB Garamond"/>
    </w:r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  <w:rPr>
      <w:rFonts w:ascii="EB Garamond" w:hAnsi="EB Garamond" w:eastAsia="EB Garamond" w:cs="EB Garamond"/>
    </w:r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  <w:rPr>
      <w:rFonts w:ascii="EB Garamond" w:hAnsi="EB Garamond" w:eastAsia="EB Garamond" w:cs="EB Garamond"/>
    </w:r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  <w:rPr>
      <w:rFonts w:ascii="EB Garamond" w:hAnsi="EB Garamond" w:eastAsia="EB Garamond" w:cs="EB Garamond"/>
    </w:r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  <w:rPr>
      <w:rFonts w:ascii="EB Garamond" w:hAnsi="EB Garamond" w:eastAsia="EB Garamond" w:cs="EB Garamond"/>
    </w:r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  <w:rPr>
      <w:rFonts w:ascii="EB Garamond" w:hAnsi="EB Garamond" w:eastAsia="EB Garamond" w:cs="EB Garamond"/>
    </w:r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  <w:rPr>
      <w:rFonts w:ascii="EB Garamond" w:hAnsi="EB Garamond" w:eastAsia="EB Garamond" w:cs="EB Garamond"/>
    </w:r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  <w:rPr>
      <w:rFonts w:ascii="EB Garamond" w:hAnsi="EB Garamond" w:eastAsia="EB Garamond" w:cs="EB Garamond"/>
    </w:r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rPr>
      <w:rFonts w:ascii="EB Garamond" w:hAnsi="EB Garamond" w:eastAsia="EB Garamond" w:cs="EB Garamond"/>
    </w:r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rPr>
      <w:rFonts w:ascii="EB Garamond" w:hAnsi="EB Garamond" w:eastAsia="EB Garamond" w:cs="EB Garamond"/>
    </w:r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rPr>
      <w:rFonts w:ascii="EB Garamond" w:hAnsi="EB Garamond" w:eastAsia="EB Garamond" w:cs="EB Garamond"/>
    </w:r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rPr>
      <w:rFonts w:ascii="EB Garamond" w:hAnsi="EB Garamond" w:eastAsia="EB Garamond" w:cs="EB Garamond"/>
    </w:r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  <w:rPr>
      <w:rFonts w:ascii="EB Garamond" w:hAnsi="EB Garamond" w:eastAsia="EB Garamond" w:cs="EB Garamond"/>
    </w:r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  <w:rPr>
      <w:rFonts w:ascii="EB Garamond" w:hAnsi="EB Garamond" w:eastAsia="EB Garamond" w:cs="EB Garamond"/>
    </w:r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  <w:rPr>
      <w:rFonts w:ascii="EB Garamond" w:hAnsi="EB Garamond" w:eastAsia="EB Garamond" w:cs="EB Garamond"/>
    </w:r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  <w:rPr>
      <w:rFonts w:ascii="EB Garamond" w:hAnsi="EB Garamond" w:eastAsia="EB Garamond" w:cs="EB Garamond"/>
    </w:r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  <w:rPr>
      <w:rFonts w:ascii="EB Garamond" w:hAnsi="EB Garamond" w:eastAsia="EB Garamond" w:cs="EB Garamond"/>
    </w:r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  <w:rPr>
      <w:rFonts w:ascii="EB Garamond" w:hAnsi="EB Garamond" w:eastAsia="EB Garamond" w:cs="EB Garamond"/>
    </w:r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  <w:rPr>
      <w:rFonts w:ascii="EB Garamond" w:hAnsi="EB Garamond" w:eastAsia="EB Garamond" w:cs="EB Garamond"/>
    </w:r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  <w:rPr>
      <w:rFonts w:ascii="EB Garamond" w:hAnsi="EB Garamond" w:eastAsia="EB Garamond" w:cs="EB Garamond"/>
    </w:r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  <w:rPr>
      <w:rFonts w:ascii="EB Garamond" w:hAnsi="EB Garamond" w:eastAsia="EB Garamond" w:cs="EB Garamond"/>
    </w:r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  <w:rPr>
      <w:rFonts w:ascii="EB Garamond" w:hAnsi="EB Garamond" w:eastAsia="EB Garamond" w:cs="EB Garamond"/>
    </w:r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FFFFFF"/>
      </w:rPr>
      <w:tblPr/>
      <w:tcPr>
        <w:shd w:val="clear" w:color="auto" w:fill="000000" w:themeFill="text1" w:themeFillShade="BF"/>
      </w:tcPr>
    </w:tblStylePr>
    <w:tblStylePr w:type="lastCol">
      <w:rPr>
        <w:color w:val="FFFFFF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65F91" w:themeFill="accent1" w:themeFillShade="BF"/>
      </w:tcPr>
    </w:tblStylePr>
    <w:tblStylePr w:type="lastCol">
      <w:rPr>
        <w:color w:val="FFFFFF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FFFFFF"/>
      </w:rPr>
      <w:tblPr/>
      <w:tcPr>
        <w:shd w:val="clear" w:color="auto" w:fill="943634" w:themeFill="accent2" w:themeFillShade="BF"/>
      </w:tcPr>
    </w:tblStylePr>
    <w:tblStylePr w:type="lastCol">
      <w:rPr>
        <w:color w:val="FFFFFF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FFFFFF"/>
      </w:rPr>
      <w:tblPr/>
      <w:tcPr>
        <w:shd w:val="clear" w:color="auto" w:fill="76923C" w:themeFill="accent3" w:themeFillShade="BF"/>
      </w:tcPr>
    </w:tblStylePr>
    <w:tblStylePr w:type="lastCol">
      <w:rPr>
        <w:color w:val="FFFFFF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FFFFFF"/>
      </w:rPr>
      <w:tblPr/>
      <w:tcPr>
        <w:shd w:val="clear" w:color="auto" w:fill="5F497A" w:themeFill="accent4" w:themeFillShade="BF"/>
      </w:tcPr>
    </w:tblStylePr>
    <w:tblStylePr w:type="lastCol">
      <w:rPr>
        <w:color w:val="FFFFFF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FFFFFF"/>
      </w:rPr>
      <w:tblPr/>
      <w:tcPr>
        <w:shd w:val="clear" w:color="auto" w:fill="31849B" w:themeFill="accent5" w:themeFillShade="BF"/>
      </w:tcPr>
    </w:tblStylePr>
    <w:tblStylePr w:type="lastCol">
      <w:rPr>
        <w:color w:val="FFFFFF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FFFFFF"/>
      </w:rPr>
      <w:tblPr/>
      <w:tcPr>
        <w:shd w:val="clear" w:color="auto" w:fill="E36C0A" w:themeFill="accent6" w:themeFillShade="BF"/>
      </w:tcPr>
    </w:tblStylePr>
    <w:tblStylePr w:type="lastCol">
      <w:rPr>
        <w:color w:val="FFFFFF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EB Garamond" w:hAnsi="EB Garamond" w:eastAsia="EB Garamond" w:cs="EB Garamond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EB Garamond" w:hAnsi="EB Garamond" w:eastAsia="EB Garamond" w:cs="EB Garamond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EB Garamond" w:hAnsi="EB Garamond" w:eastAsia="EB Garamond" w:cs="EB Garamond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EB Garamond" w:hAnsi="EB Garamond" w:eastAsia="EB Garamond" w:cs="EB Garamond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EB Garamond" w:hAnsi="EB Garamond" w:eastAsia="EB Garamond" w:cs="EB Garamond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EB Garamond" w:hAnsi="EB Garamond" w:eastAsia="EB Garamond" w:cs="EB Garamond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EB Garamond" w:hAnsi="EB Garamond" w:eastAsia="EB Garamond" w:cs="EB Garamond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EB Garamond" w:hAnsi="EB Garamond" w:eastAsia="EB Garamond" w:cs="EB Garamond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EB Garamond" w:hAnsi="EB Garamond" w:eastAsia="EB Garamond" w:cs="EB Garamond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EB Garamond" w:hAnsi="EB Garamond" w:eastAsia="EB Garamond" w:cs="EB Garamond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EB Garamond" w:hAnsi="EB Garamond" w:eastAsia="EB Garamond" w:cs="EB Garamond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EB Garamond" w:hAnsi="EB Garamond" w:eastAsia="EB Garamond" w:cs="EB Garamond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EB Garamond" w:hAnsi="EB Garamond" w:eastAsia="EB Garamond" w:cs="EB Garamond"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EB Garamond" w:hAnsi="EB Garamond" w:eastAsia="EB Garamond" w:cs="EB Garamond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EB Garamond" w:hAnsi="EB Garamond" w:eastAsia="EB Garamond" w:cs="EB Garamond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EB Garamond" w:hAnsi="EB Garamond" w:eastAsia="EB Garamond" w:cs="EB Garamond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EB Garamond" w:hAnsi="EB Garamond" w:eastAsia="EB Garamond" w:cs="EB Garamond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EB Garamond" w:hAnsi="EB Garamond" w:eastAsia="EB Garamond" w:cs="EB Garamond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EB Garamond" w:hAnsi="EB Garamond" w:eastAsia="EB Garamond" w:cs="EB Garamond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EB Garamond" w:hAnsi="EB Garamond" w:eastAsia="EB Garamond" w:cs="EB Garamond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EB Garamond" w:hAnsi="EB Garamond" w:eastAsia="EB Garamond" w:cs="EB Garamond"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EB Garamond" w:hAnsi="EB Garamond" w:eastAsia="EB Garamond" w:cs="EB Garamond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EB Garamond" w:hAnsi="EB Garamond" w:eastAsia="EB Garamond" w:cs="EB Garamond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EB Garamond" w:hAnsi="EB Garamond" w:eastAsia="EB Garamond" w:cs="EB Garamond"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EB Garamond" w:hAnsi="EB Garamond" w:eastAsia="EB Garamond" w:cs="EB Garamond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FFFFFF"/>
      </w:rPr>
      <w:tblPr/>
      <w:tcPr>
        <w:shd w:val="clear" w:color="auto" w:fill="000000" w:themeFill="text1" w:themeFillShade="BF"/>
      </w:tcPr>
    </w:tblStylePr>
    <w:tblStylePr w:type="lastCol">
      <w:rPr>
        <w:color w:val="FFFFFF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65F91" w:themeFill="accent1" w:themeFillShade="BF"/>
      </w:tcPr>
    </w:tblStylePr>
    <w:tblStylePr w:type="lastCol">
      <w:rPr>
        <w:color w:val="FFFFFF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FFFFFF"/>
      </w:rPr>
      <w:tblPr/>
      <w:tcPr>
        <w:shd w:val="clear" w:color="auto" w:fill="943634" w:themeFill="accent2" w:themeFillShade="BF"/>
      </w:tcPr>
    </w:tblStylePr>
    <w:tblStylePr w:type="lastCol">
      <w:rPr>
        <w:color w:val="FFFFFF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FFFFFF"/>
      </w:rPr>
      <w:tblPr/>
      <w:tcPr>
        <w:shd w:val="clear" w:color="auto" w:fill="76923C" w:themeFill="accent3" w:themeFillShade="BF"/>
      </w:tcPr>
    </w:tblStylePr>
    <w:tblStylePr w:type="lastCol">
      <w:rPr>
        <w:color w:val="FFFFFF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FFFFFF"/>
      </w:rPr>
      <w:tblPr/>
      <w:tcPr>
        <w:shd w:val="clear" w:color="auto" w:fill="5F497A" w:themeFill="accent4" w:themeFillShade="BF"/>
      </w:tcPr>
    </w:tblStylePr>
    <w:tblStylePr w:type="lastCol">
      <w:rPr>
        <w:color w:val="FFFFFF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FFFFFF"/>
      </w:rPr>
      <w:tblPr/>
      <w:tcPr>
        <w:shd w:val="clear" w:color="auto" w:fill="31849B" w:themeFill="accent5" w:themeFillShade="BF"/>
      </w:tcPr>
    </w:tblStylePr>
    <w:tblStylePr w:type="lastCol">
      <w:rPr>
        <w:color w:val="FFFFFF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FFFFFF"/>
      </w:rPr>
      <w:tblPr/>
      <w:tcPr>
        <w:shd w:val="clear" w:color="auto" w:fill="E36C0A" w:themeFill="accent6" w:themeFillShade="BF"/>
      </w:tcPr>
    </w:tblStylePr>
    <w:tblStylePr w:type="lastCol">
      <w:rPr>
        <w:color w:val="FFFFFF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image" Target="media/image1.png"/><Relationship Id="rId13" Type="http://schemas.openxmlformats.org/officeDocument/2006/relationships/hyperlink" Target="https://www.corneritaliano.com/2050/risorse/" TargetMode="External"/><Relationship Id="rId14" Type="http://schemas.openxmlformats.org/officeDocument/2006/relationships/header" Target="header2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EBGaramond-Regular.odttf"/><Relationship Id="rId2" Type="http://schemas.openxmlformats.org/officeDocument/2006/relationships/font" Target="fonts/EBGaramond-Bold.odttf"/><Relationship Id="rId3" Type="http://schemas.openxmlformats.org/officeDocument/2006/relationships/font" Target="fonts/EBGaramond-Italic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EB Garamond"/>
        <a:ea typeface="EB Garamond"/>
        <a:cs typeface="EB Garamond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EB Garamond"/>
        <a:ea typeface="EB Garamond"/>
        <a:cs typeface="EB Garamond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Cronologia essenziale | IT-R2.3 | Italiano | English source V51.2</dc:title>
  <dc:subject>Cronologia essenziale | IT-R2.3 | Italiano | English source V51.2</dc:subject>
  <dc:creator>Marco De Prosperis</dc:creator>
  <cp:keywords>2050, EN-US-R2.3, July 2026 documentary snapshot, revised English interior</cp:keywords>
  <dc:description>Cronologia essenziale | IT-R2.3 | Italiano | English source V51.2</dc:description>
  <cp:lastModifiedBy>Corner Italiano LLC</cp:lastModifiedBy>
  <cp:revision>2</cp:revision>
  <dcterms:created xsi:type="dcterms:W3CDTF">2013-12-23T23:15:00Z</dcterms:created>
  <dcterms:modified xsi:type="dcterms:W3CDTF">2026-09-10T15:55:33Z</dcterms:modified>
  <cp:category/>
  <dc:language>it-IT</dc:language>
</cp:coreProperties>
</file>