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line="240" w:lineRule="auto"/>
        <w:jc w:val="center"/>
      </w:pPr>
      <w:r>
        <w:drawing>
          <wp:inline xmlns:a="http://schemas.openxmlformats.org/drawingml/2006/main" xmlns:pic="http://schemas.openxmlformats.org/drawingml/2006/picture">
            <wp:extent cx="1508760" cy="1005840"/>
            <wp:docPr id="1" name="Picture 1" descr="Corner Italiano editorial logo" title="Corner Italiano"/>
            <wp:cNvGraphicFramePr>
              <a:graphicFrameLocks noChangeAspect="1"/>
            </wp:cNvGraphicFramePr>
            <a:graphic>
              <a:graphicData uri="http://schemas.openxmlformats.org/drawingml/2006/picture">
                <pic:pic>
                  <pic:nvPicPr>
                    <pic:cNvPr id="0" name="corner-italiano-logo.png"/>
                    <pic:cNvPicPr/>
                  </pic:nvPicPr>
                  <pic:blipFill>
                    <a:blip r:embed="rId12"/>
                    <a:stretch>
                      <a:fillRect/>
                    </a:stretch>
                  </pic:blipFill>
                  <pic:spPr>
                    <a:xfrm>
                      <a:off x="0" y="0"/>
                      <a:ext cx="1508760" cy="1005840"/>
                    </a:xfrm>
                    <a:prstGeom prst="rect"/>
                  </pic:spPr>
                </pic:pic>
              </a:graphicData>
            </a:graphic>
          </wp:inline>
        </w:drawing>
        <w:rPr>
          <w:rFonts w:ascii="EB Garamond" w:hAnsi="EB Garamond" w:eastAsia="EB Garamond" w:cs="EB Garamond"/>
          <w:sz w:val="21"/>
          <w:szCs w:val="21"/>
        </w:rPr>
      </w:r>
    </w:p>
    <w:p>
      <w:pPr>
        <w:spacing w:before="520" w:after="160" w:line="270" w:lineRule="exact"/>
        <w:jc w:val="center"/>
      </w:pPr>
      <w:r>
        <w:rPr>
          <w:rFonts w:ascii="EB Garamond" w:hAnsi="EB Garamond" w:eastAsia="EB Garamond" w:cs="EB Garamond"/>
          <w:b/>
          <w:color w:val="B04A35"/>
          <w:sz w:val="21"/>
          <w:szCs w:val="21"/>
        </w:rPr>
        <w:t xml:space="preserve">CORNER ITALIANO  |  RISORSE UFFICIALI</w:t>
      </w:r>
    </w:p>
    <w:p>
      <w:pPr>
        <w:pStyle w:val="Title"/>
        <w:jc w:val="center"/>
        <w:spacing w:line="640" w:lineRule="exact"/>
      </w:pPr>
      <w:r>
        <w:rPr>
          <w:rFonts w:ascii="EB Garamond" w:hAnsi="EB Garamond" w:eastAsia="EB Garamond" w:cs="EB Garamond"/>
          <w:b/>
          <w:color w:val="183445"/>
          <w:sz w:val="56"/>
          <w:szCs w:val="56"/>
        </w:rPr>
        <w:t xml:space="preserve">Mappa tematica</w:t>
      </w:r>
    </w:p>
    <w:p>
      <w:pPr>
        <w:pStyle w:val="Subtitle"/>
        <w:jc w:val="center"/>
        <w:spacing w:line="320" w:lineRule="exact"/>
      </w:pPr>
      <w:r>
        <w:rPr>
          <w:rFonts w:ascii="EB Garamond" w:hAnsi="EB Garamond" w:eastAsia="EB Garamond" w:cs="EB Garamond"/>
          <w:color w:val="5A686F"/>
          <w:sz w:val="26"/>
          <w:szCs w:val="26"/>
        </w:rPr>
        <w:t xml:space="preserve">Dove trovare le domande centrali del libro</w:t>
      </w:r>
    </w:p>
    <w:p>
      <w:pPr>
        <w:spacing w:before="440" w:line="270" w:lineRule="exact"/>
        <w:jc w:val="center"/>
      </w:pPr>
      <w:r>
        <w:rPr>
          <w:rFonts w:ascii="EB Garamond" w:hAnsi="EB Garamond" w:eastAsia="EB Garamond" w:cs="EB Garamond"/>
          <w:b/>
          <w:color w:val="B04A35"/>
          <w:sz w:val="21"/>
          <w:szCs w:val="21"/>
        </w:rPr>
        <w:t xml:space="preserve">UN INDICE TEMATICO DI LETTURA</w:t>
      </w:r>
    </w:p>
    <w:p>
      <w:pPr>
        <w:jc w:val="center"/>
        <w:spacing w:line="270" w:lineRule="exact"/>
      </w:pPr>
      <w:r>
        <w:rPr>
          <w:rFonts w:ascii="EB Garamond" w:hAnsi="EB Garamond" w:eastAsia="EB Garamond" w:cs="EB Garamond"/>
          <w:color w:val="183445"/>
          <w:sz w:val="21"/>
          <w:szCs w:val="21"/>
        </w:rPr>
        <w:t xml:space="preserve">Allineato all’interno inglese revisionato · Quadro documentale: luglio 2026 · Versione delle risorse IT-R2.3</w:t>
      </w:r>
    </w:p>
    <w:p>
      <w:pPr>
        <w:spacing w:before="360" w:line="270" w:lineRule="exact"/>
        <w:jc w:val="center"/>
      </w:pPr>
      <w:hyperlink r:id="rId13">
        <w:r>
          <w:rPr>
            <w:rFonts w:ascii="EB Garamond" w:hAnsi="EB Garamond" w:eastAsia="EB Garamond" w:cs="EB Garamond"/>
            <w:color w:val="183445"/>
            <w:u w:val="single"/>
            <w:sz w:val="21"/>
            <w:szCs w:val="21"/>
          </w:rPr>
          <w:t>https://www.corneritaliano.com/2050/risorse/</w:t>
        </w:r>
      </w:hyperlink>
    </w:p>
    <w:p>
      <w:r>
        <w:br w:type="page"/>
        <w:rPr>
          <w:rFonts w:ascii="EB Garamond" w:hAnsi="EB Garamond" w:eastAsia="EB Garamond" w:cs="EB Garamond"/>
          <w:sz w:val="21"/>
          <w:szCs w:val="21"/>
        </w:rPr>
      </w:r>
      <w:pPr/>
    </w:p>
    <w:tbl>
      <w:tblPr>
        <w:tblW w:type="dxa" w:w="10224"/>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10224"/>
      </w:tblGrid>
      <w:tr>
        <w:trPr>
          <w:cantSplit/>
        </w:trPr>
        <w:tc>
          <w:tcPr>
            <w:tcW w:type="dxa" w:w="10224"/>
            <w:shd w:fill="F7E7E0"/>
            <w:tcMar>
              <w:top w:w="120" w:type="dxa"/>
              <w:start w:w="150" w:type="dxa"/>
              <w:bottom w:w="120" w:type="dxa"/>
              <w:end w:w="150" w:type="dxa"/>
            </w:tcMar>
          </w:tcPr>
          <w:p>
            <w:pPr>
              <w:spacing w:after="40" w:line="210" w:lineRule="exact"/>
            </w:pPr>
            <w:r>
              <w:rPr>
                <w:rFonts w:ascii="EB Garamond" w:hAnsi="EB Garamond" w:eastAsia="EB Garamond" w:cs="EB Garamond"/>
                <w:color w:val="1F2D33"/>
                <w:sz w:val="17"/>
                <w:szCs w:val="17"/>
              </w:rPr>
              <w:t xml:space="preserve">ORIENTAMENTO  Il libro sviluppa queste domande a scale diverse. Usare numeri di capitolo e titoli delle sezioni per ritrovare ciascun tema quando cambia l’impaginazione. Titoli tradotti con gli originali dell’interno inglese revisionato (2026) tra parentesi.</w:t>
            </w:r>
          </w:p>
        </w:tc>
      </w:tr>
    </w:tbl>
    <w:p>
      <w:pPr>
        <w:spacing w:after="0"/>
      </w:pPr>
    </w:p>
    <w:p>
      <w:pPr>
        <w:keepNext/>
        <w:spacing w:before="200" w:after="80" w:line="300" w:lineRule="exact"/>
      </w:pPr>
      <w:r>
        <w:rPr>
          <w:rFonts w:ascii="EB Garamond" w:hAnsi="EB Garamond" w:eastAsia="EB Garamond" w:cs="EB Garamond"/>
          <w:b/>
          <w:color w:val="183445"/>
          <w:sz w:val="23"/>
          <w:szCs w:val="23"/>
        </w:rPr>
        <w:t xml:space="preserve">Speranza adulta e limiti alla delega</w:t>
      </w:r>
    </w:p>
    <w:p>
      <w:pPr>
        <w:spacing w:after="40" w:line="270" w:lineRule="exact"/>
        <w:keepNext/>
      </w:pPr>
      <w:r>
        <w:rPr>
          <w:rFonts w:ascii="EB Garamond" w:hAnsi="EB Garamond" w:eastAsia="EB Garamond" w:cs="EB Garamond"/>
          <w:i/>
          <w:color w:val="5A686F"/>
          <w:sz w:val="21"/>
          <w:szCs w:val="21"/>
        </w:rPr>
        <w:t xml:space="preserve">Dove nel libro: Introduzione, «La distanza dal 2050» (The Distance to 2050); Capitolo 16, «Prima dell’uso: scheda e Mandato» (Before Use: Worksheet and Mandate); Epilogo, «Ciò che non deleghiamo» (What We Do Not Delegate).</w:t>
      </w:r>
    </w:p>
    <w:p>
      <w:pPr>
        <w:spacing w:after="100" w:line="270" w:lineRule="exact"/>
      </w:pPr>
      <w:r>
        <w:rPr>
          <w:rFonts w:ascii="EB Garamond" w:hAnsi="EB Garamond" w:eastAsia="EB Garamond" w:cs="EB Garamond"/>
          <w:color w:val="1F2D33"/>
          <w:sz w:val="21"/>
          <w:szCs w:val="21"/>
        </w:rPr>
        <w:t xml:space="preserve">Studiare la tecnologia e usarla quando migliora la vita. Preservare spazi in cui le scelte umane possano porre limiti al suo uso, compreso il rifiuto, e correggerne gli effetti.</w:t>
      </w:r>
    </w:p>
    <w:p>
      <w:pPr>
        <w:keepNext/>
        <w:spacing w:before="200" w:after="80" w:line="300" w:lineRule="exact"/>
      </w:pPr>
      <w:r>
        <w:rPr>
          <w:rFonts w:ascii="EB Garamond" w:hAnsi="EB Garamond" w:eastAsia="EB Garamond" w:cs="EB Garamond"/>
          <w:b/>
          <w:color w:val="183445"/>
          <w:sz w:val="23"/>
          <w:szCs w:val="23"/>
        </w:rPr>
        <w:t xml:space="preserve">Capacità, affidabilità e autorità</w:t>
      </w:r>
    </w:p>
    <w:p>
      <w:pPr>
        <w:spacing w:after="40" w:line="270" w:lineRule="exact"/>
        <w:keepNext/>
      </w:pPr>
      <w:r>
        <w:rPr>
          <w:rFonts w:ascii="EB Garamond" w:hAnsi="EB Garamond" w:eastAsia="EB Garamond" w:cs="EB Garamond"/>
          <w:i/>
          <w:color w:val="5A686F"/>
          <w:sz w:val="21"/>
          <w:szCs w:val="21"/>
        </w:rPr>
        <w:t xml:space="preserve">Dove nel libro: Introduzione, «La distanza dal 2050» (The Distance to 2050); Interludio I, «I tre stati della risposta» (The Three Answer States); Capitolo 1, «Come le macchine imparano dagli esempi» (How Machines Learn from Examples); Capitolo 4, «Dove ricade la responsabilità» (Where Responsibility Falls); Capitolo 7, «Ciò che il gemello non può fare» (What the Twin Cannot Do), «Quattro modalità di delega» (Four Modes of Delegation); Capitolo 8, «Curare senza disumanizzare» (Caring Without Dehumanizing), «Diagnosi aumentata e rischio di scambiare la precisione per verità» (Augmented Diagnosis and the Risk of Mistaking Precision for Truth); Capitolo 12, «I diritti nell’era della previsione» (Rights in the Age of Prediction); Capitolo 16, «Prima dell’uso: scheda e Mandato» (Before Use: Worksheet and Mandate); Appendice, Strumenti per il lettore (Tools for the Reader), «Mappa dei tre vocabolari» (Map of the Three Vocabularies).</w:t>
      </w:r>
    </w:p>
    <w:p>
      <w:pPr>
        <w:spacing w:after="100" w:line="270" w:lineRule="exact"/>
      </w:pPr>
      <w:r>
        <w:rPr>
          <w:rFonts w:ascii="EB Garamond" w:hAnsi="EB Garamond" w:eastAsia="EB Garamond" w:cs="EB Garamond"/>
          <w:color w:val="1F2D33"/>
          <w:sz w:val="21"/>
          <w:szCs w:val="21"/>
        </w:rPr>
        <w:t xml:space="preserve">Saper fare qualcosa, riuscirci nelle condizioni reali ed essere autorizzati ad agire sono proprietà distinte.</w:t>
      </w:r>
    </w:p>
    <w:p>
      <w:pPr>
        <w:keepNext/>
        <w:spacing w:before="200" w:after="80" w:line="300" w:lineRule="exact"/>
      </w:pPr>
      <w:r>
        <w:rPr>
          <w:rFonts w:ascii="EB Garamond" w:hAnsi="EB Garamond" w:eastAsia="EB Garamond" w:cs="EB Garamond"/>
          <w:b/>
          <w:color w:val="183445"/>
          <w:sz w:val="23"/>
          <w:szCs w:val="23"/>
        </w:rPr>
        <w:t xml:space="preserve">Il Test del 2050 e i tre vocabolari</w:t>
      </w:r>
    </w:p>
    <w:p>
      <w:pPr>
        <w:spacing w:after="40" w:line="270" w:lineRule="exact"/>
        <w:keepNext/>
      </w:pPr>
      <w:r>
        <w:rPr>
          <w:rFonts w:ascii="EB Garamond" w:hAnsi="EB Garamond" w:eastAsia="EB Garamond" w:cs="EB Garamond"/>
          <w:i/>
          <w:color w:val="5A686F"/>
          <w:sz w:val="21"/>
          <w:szCs w:val="21"/>
        </w:rPr>
        <w:t xml:space="preserve">Dove nel libro: Interludio I, «Sette domande prima di delegare» (Seven Questions Before Delegating), «I tre stati della risposta» (The Three Answer States); Capitolo 7, «Quattro modalità di delega» (Four Modes of Delegation); Interludio II, «Il costo del controllo» (The Cost of Control); Capitolo 16, «Prima dell’uso: scheda e Mandato» (Before Use: Worksheet and Mandate); Appendice, Strumenti per il lettore (Tools for the Reader), «Le sette domande del Test del 2050» (The Seven Questions of the 2050 Test), «Quando una risposta è Sufficiente e quando è Bloccante» (When an Answer Is Sufficient, and When It Blocks), «La regola decisionale» (The Decision Rule), «La scheda minima» (The Minimum Worksheet).</w:t>
      </w:r>
    </w:p>
    <w:p>
      <w:pPr>
        <w:spacing w:after="100" w:line="270" w:lineRule="exact"/>
      </w:pPr>
      <w:r>
        <w:rPr>
          <w:rFonts w:ascii="EB Garamond" w:hAnsi="EB Garamond" w:eastAsia="EB Garamond" w:cs="EB Garamond"/>
          <w:color w:val="1F2D33"/>
          <w:sz w:val="21"/>
          <w:szCs w:val="21"/>
        </w:rPr>
        <w:t xml:space="preserve">Le sette domande, lo stato della risposta e la decisione organizzativa restano separati e non producono una media compensatoria.</w:t>
      </w:r>
    </w:p>
    <w:p>
      <w:pPr>
        <w:keepNext/>
        <w:spacing w:before="200" w:after="80" w:line="300" w:lineRule="exact"/>
      </w:pPr>
      <w:r>
        <w:rPr>
          <w:rFonts w:ascii="EB Garamond" w:hAnsi="EB Garamond" w:eastAsia="EB Garamond" w:cs="EB Garamond"/>
          <w:b/>
          <w:color w:val="183445"/>
          <w:sz w:val="23"/>
          <w:szCs w:val="23"/>
        </w:rPr>
        <w:t xml:space="preserve">Identità, minimizzazione della prova e portabilità</w:t>
      </w:r>
    </w:p>
    <w:p>
      <w:pPr>
        <w:spacing w:after="40" w:line="270" w:lineRule="exact"/>
        <w:keepNext/>
      </w:pPr>
      <w:r>
        <w:rPr>
          <w:rFonts w:ascii="EB Garamond" w:hAnsi="EB Garamond" w:eastAsia="EB Garamond" w:cs="EB Garamond"/>
          <w:i/>
          <w:color w:val="5A686F"/>
          <w:sz w:val="21"/>
          <w:szCs w:val="21"/>
        </w:rPr>
        <w:t xml:space="preserve">Dove nel libro: Capitolo 2, «Dimostrare quanto basta, non tutto» (Proving Enough, Not Everything), «La credenziale verificabile» (The Verifiable Credential), «Trasferire e recuperare le evidenze» (Moving and Recovering Evidence); Capitolo 3, «Il giorno in cui il mondo si ferma senza rumore» (The Day the World Stops Without a Sound); Capitolo 16, «La continuità quando un sistema chiude» (Continuity When a System Closes); Appendice, Strumenti per il lettore (Tools for the Reader), «Le sette domande del Test del 2050» (The Seven Questions of the 2050 Test).</w:t>
      </w:r>
    </w:p>
    <w:p>
      <w:pPr>
        <w:spacing w:after="100" w:line="270" w:lineRule="exact"/>
      </w:pPr>
      <w:r>
        <w:rPr>
          <w:rFonts w:ascii="EB Garamond" w:hAnsi="EB Garamond" w:eastAsia="EB Garamond" w:cs="EB Garamond"/>
          <w:color w:val="1F2D33"/>
          <w:sz w:val="21"/>
          <w:szCs w:val="21"/>
        </w:rPr>
        <w:t xml:space="preserve">Dimostrare soltanto ciò che serve senza consegnare la persona né trasferirle tutto il rischio di recupero e uscita.</w:t>
      </w:r>
    </w:p>
    <w:p>
      <w:pPr>
        <w:keepNext/>
        <w:spacing w:before="200" w:after="80" w:line="300" w:lineRule="exact"/>
      </w:pPr>
      <w:r>
        <w:rPr>
          <w:rFonts w:ascii="EB Garamond" w:hAnsi="EB Garamond" w:eastAsia="EB Garamond" w:cs="EB Garamond"/>
          <w:b/>
          <w:color w:val="183445"/>
          <w:sz w:val="23"/>
          <w:szCs w:val="23"/>
        </w:rPr>
        <w:t xml:space="preserve">Infrastrutture, continuità e prova d’uscita</w:t>
      </w:r>
    </w:p>
    <w:p>
      <w:pPr>
        <w:spacing w:after="40" w:line="270" w:lineRule="exact"/>
        <w:keepNext/>
      </w:pPr>
      <w:r>
        <w:rPr>
          <w:rFonts w:ascii="EB Garamond" w:hAnsi="EB Garamond" w:eastAsia="EB Garamond" w:cs="EB Garamond"/>
          <w:i/>
          <w:color w:val="5A686F"/>
          <w:sz w:val="21"/>
          <w:szCs w:val="21"/>
        </w:rPr>
        <w:t xml:space="preserve">Dove nel libro: Capitolo 3, «Il giorno in cui il mondo si ferma senza rumore» (The Day the World Stops Without a Sound); Capitolo 14, «L’infrastruttura dietro il contratto» (The Infrastructure Behind the Contract); Capitolo 16, «La continuità quando un sistema chiude» (Continuity When a System Closes); Appendice, Strumenti per il lettore (Tools for the Reader), «Le sette domande del Test del 2050» (The Seven Questions of the 2050 Test).</w:t>
      </w:r>
    </w:p>
    <w:p>
      <w:pPr>
        <w:spacing w:after="100" w:line="270" w:lineRule="exact"/>
      </w:pPr>
      <w:r>
        <w:rPr>
          <w:rFonts w:ascii="EB Garamond" w:hAnsi="EB Garamond" w:eastAsia="EB Garamond" w:cs="EB Garamond"/>
          <w:color w:val="1F2D33"/>
          <w:sz w:val="21"/>
          <w:szCs w:val="21"/>
        </w:rPr>
        <w:t xml:space="preserve">Servizi cloud, reti, API, contratti e competenza residua diventano governabili quando la continuità ridotta e la sostituzione vengono provate.</w:t>
      </w:r>
    </w:p>
    <w:p>
      <w:pPr>
        <w:keepNext/>
        <w:spacing w:before="200" w:after="80" w:line="300" w:lineRule="exact"/>
      </w:pPr>
      <w:r>
        <w:rPr>
          <w:rFonts w:ascii="EB Garamond" w:hAnsi="EB Garamond" w:eastAsia="EB Garamond" w:cs="EB Garamond"/>
          <w:b/>
          <w:color w:val="183445"/>
          <w:sz w:val="23"/>
          <w:szCs w:val="23"/>
        </w:rPr>
        <w:t xml:space="preserve">Lavoro, competenza e formazione</w:t>
      </w:r>
    </w:p>
    <w:p>
      <w:pPr>
        <w:spacing w:after="40" w:line="270" w:lineRule="exact"/>
        <w:keepNext/>
      </w:pPr>
      <w:r>
        <w:rPr>
          <w:rFonts w:ascii="EB Garamond" w:hAnsi="EB Garamond" w:eastAsia="EB Garamond" w:cs="EB Garamond"/>
          <w:i/>
          <w:color w:val="5A686F"/>
          <w:sz w:val="21"/>
          <w:szCs w:val="21"/>
        </w:rPr>
        <w:t xml:space="preserve">Dove nel libro: Capitolo 4, «Il grande cambiamento: dai compiti alle responsabilità» (The Great Shift: From Tasks to Responsibilities); Capitolo 6, «Dal trasferire conoscenze al coltivare il giudizio» (From Transferring Knowledge to Cultivating Judgment); Capitolo 7, «Ciò che il gemello non può fare» (What the Twin Cannot Do); Capitolo 10, «Qui c’è stata una persona» (A Person Was Here); Capitolo 16, «Prima dell’uso: scheda e Mandato» (Before Use: Worksheet and Mandate).</w:t>
      </w:r>
    </w:p>
    <w:p>
      <w:pPr>
        <w:spacing w:after="100" w:line="270" w:lineRule="exact"/>
      </w:pPr>
      <w:r>
        <w:rPr>
          <w:rFonts w:ascii="EB Garamond" w:hAnsi="EB Garamond" w:eastAsia="EB Garamond" w:cs="EB Garamond"/>
          <w:color w:val="1F2D33"/>
          <w:sz w:val="21"/>
          <w:szCs w:val="21"/>
        </w:rPr>
        <w:t xml:space="preserve">L’automazione comprime i compiti. L’apprendistato mantiene praticabile il giudizio quando i lavoratori hanno tempo per esercitarlo e autorità sull’esito.</w:t>
      </w:r>
    </w:p>
    <w:p>
      <w:pPr>
        <w:keepNext/>
        <w:spacing w:before="200" w:after="80" w:line="300" w:lineRule="exact"/>
      </w:pPr>
      <w:r>
        <w:rPr>
          <w:rFonts w:ascii="EB Garamond" w:hAnsi="EB Garamond" w:eastAsia="EB Garamond" w:cs="EB Garamond"/>
          <w:b/>
          <w:color w:val="183445"/>
          <w:sz w:val="23"/>
          <w:szCs w:val="23"/>
        </w:rPr>
        <w:t xml:space="preserve">Mandato, Ricorso e supervisione sostanziale</w:t>
      </w:r>
    </w:p>
    <w:p>
      <w:pPr>
        <w:spacing w:after="40" w:line="270" w:lineRule="exact"/>
        <w:keepNext/>
      </w:pPr>
      <w:r>
        <w:rPr>
          <w:rFonts w:ascii="EB Garamond" w:hAnsi="EB Garamond" w:eastAsia="EB Garamond" w:cs="EB Garamond"/>
          <w:i/>
          <w:color w:val="5A686F"/>
          <w:sz w:val="21"/>
          <w:szCs w:val="21"/>
        </w:rPr>
        <w:t xml:space="preserve">Dove nel libro: Capitolo 4, «Dove ricade la responsabilità» (Where Responsibility Falls); Capitolo 5, «Il Mandato dello sguardo pubblico» (The Mandate of the Public Gaze); Capitolo 7, «Dove il Mandato deve fermarsi» (Where the Mandate Must Stop); Capitolo 8, «Diagnosi aumentata e rischio di scambiare la precisione per verità» (Augmented Diagnosis and the Risk of Mistaking Precision for Truth); Capitolo 12, «I diritti nell’era della previsione» (Rights in the Age of Prediction); Capitolo 16, «Quando qualcosa devia: incidente e Ricorso» (When Something Goes Off Course: Incident and Redress); Interludio I, «Sette domande prima di delegare» (Seven Questions Before Delegating); Interludio II, «Il costo del controllo» (The Cost of Control).</w:t>
      </w:r>
    </w:p>
    <w:p>
      <w:pPr>
        <w:spacing w:after="100" w:line="270" w:lineRule="exact"/>
      </w:pPr>
      <w:r>
        <w:rPr>
          <w:rFonts w:ascii="EB Garamond" w:hAnsi="EB Garamond" w:eastAsia="EB Garamond" w:cs="EB Garamond"/>
          <w:color w:val="1F2D33"/>
          <w:sz w:val="21"/>
          <w:szCs w:val="21"/>
        </w:rPr>
        <w:t xml:space="preserve">Una persona conta nel processo quando possiede evidenza, tempo e potere per sospendere, correggere e ottenere un esito motivato.</w:t>
      </w:r>
    </w:p>
    <w:p>
      <w:pPr>
        <w:keepNext/>
        <w:spacing w:before="200" w:after="80" w:line="300" w:lineRule="exact"/>
      </w:pPr>
      <w:r>
        <w:rPr>
          <w:rFonts w:ascii="EB Garamond" w:hAnsi="EB Garamond" w:eastAsia="EB Garamond" w:cs="EB Garamond"/>
          <w:b/>
          <w:color w:val="183445"/>
          <w:sz w:val="23"/>
          <w:szCs w:val="23"/>
        </w:rPr>
        <w:t xml:space="preserve">Cura, incertezza e dignità</w:t>
      </w:r>
    </w:p>
    <w:p>
      <w:pPr>
        <w:spacing w:after="40" w:line="270" w:lineRule="exact"/>
        <w:keepNext/>
      </w:pPr>
      <w:r>
        <w:rPr>
          <w:rFonts w:ascii="EB Garamond" w:hAnsi="EB Garamond" w:eastAsia="EB Garamond" w:cs="EB Garamond"/>
          <w:i/>
          <w:color w:val="5A686F"/>
          <w:sz w:val="21"/>
          <w:szCs w:val="21"/>
        </w:rPr>
        <w:t xml:space="preserve">Dove nel libro: Capitolo 8, «Curare senza disumanizzare» (Caring Without Dehumanizing), «La cura alla fine della vita» (Care at the End of Life); Capitolo 11, «L’amico che non dorme mai» (The Friend Who Never Sleeps); Capitolo 15, «I morti che non se ne vanno mai» (The Dead Who Never Leave).</w:t>
      </w:r>
    </w:p>
    <w:p>
      <w:pPr>
        <w:spacing w:after="100" w:line="270" w:lineRule="exact"/>
      </w:pPr>
      <w:r>
        <w:rPr>
          <w:rFonts w:ascii="EB Garamond" w:hAnsi="EB Garamond" w:eastAsia="EB Garamond" w:cs="EB Garamond"/>
          <w:color w:val="1F2D33"/>
          <w:sz w:val="21"/>
          <w:szCs w:val="21"/>
        </w:rPr>
        <w:t xml:space="preserve">Errore tecnico, incertezza clinica, conflitto di valori, presenza e congedo richiedono risposte diverse.</w:t>
      </w:r>
    </w:p>
    <w:p>
      <w:pPr>
        <w:keepNext/>
        <w:spacing w:before="200" w:after="80" w:line="300" w:lineRule="exact"/>
      </w:pPr>
      <w:r>
        <w:rPr>
          <w:rFonts w:ascii="EB Garamond" w:hAnsi="EB Garamond" w:eastAsia="EB Garamond" w:cs="EB Garamond"/>
          <w:b/>
          <w:color w:val="183445"/>
          <w:sz w:val="23"/>
          <w:szCs w:val="23"/>
        </w:rPr>
        <w:t xml:space="preserve">Verità pubblica, provenienza e fatica epistemica</w:t>
      </w:r>
    </w:p>
    <w:p>
      <w:pPr>
        <w:spacing w:after="40" w:line="270" w:lineRule="exact"/>
        <w:keepNext/>
      </w:pPr>
      <w:r>
        <w:rPr>
          <w:rFonts w:ascii="EB Garamond" w:hAnsi="EB Garamond" w:eastAsia="EB Garamond" w:cs="EB Garamond"/>
          <w:i/>
          <w:color w:val="5A686F"/>
          <w:sz w:val="21"/>
          <w:szCs w:val="21"/>
        </w:rPr>
        <w:t xml:space="preserve">Dove nel libro: Capitolo 9, «Ricostruire la fiducia pubblica» (Rebuilding Public Trust); Capitolo 10, «Le fonti creative e il loro uso» (Creative Sources and Their Use); Appendice, Strumenti per il lettore (Tools for the Reader), «Glossario essenziale» (Essential Glossary).</w:t>
      </w:r>
    </w:p>
    <w:p>
      <w:pPr>
        <w:spacing w:after="100" w:line="270" w:lineRule="exact"/>
      </w:pPr>
      <w:r>
        <w:rPr>
          <w:rFonts w:ascii="EB Garamond" w:hAnsi="EB Garamond" w:eastAsia="EB Garamond" w:cs="EB Garamond"/>
          <w:color w:val="1F2D33"/>
          <w:sz w:val="21"/>
          <w:szCs w:val="21"/>
        </w:rPr>
        <w:t xml:space="preserve">Ricostruire origine e trasformazioni aiuta la verifica, ma la fiducia pubblica dipende anche dal costo umano e istituzionale di contestare un’affermazione.</w:t>
      </w:r>
    </w:p>
    <w:p>
      <w:pPr>
        <w:keepNext/>
        <w:spacing w:before="200" w:after="80" w:line="300" w:lineRule="exact"/>
      </w:pPr>
      <w:r>
        <w:rPr>
          <w:rFonts w:ascii="EB Garamond" w:hAnsi="EB Garamond" w:eastAsia="EB Garamond" w:cs="EB Garamond"/>
          <w:b/>
          <w:color w:val="183445"/>
          <w:sz w:val="23"/>
          <w:szCs w:val="23"/>
        </w:rPr>
        <w:t xml:space="preserve">Autorialità, firma e nuova scarsità</w:t>
      </w:r>
    </w:p>
    <w:p>
      <w:pPr>
        <w:spacing w:after="40" w:line="270" w:lineRule="exact"/>
        <w:keepNext/>
      </w:pPr>
      <w:r>
        <w:rPr>
          <w:rFonts w:ascii="EB Garamond" w:hAnsi="EB Garamond" w:eastAsia="EB Garamond" w:cs="EB Garamond"/>
          <w:i/>
          <w:color w:val="5A686F"/>
          <w:sz w:val="21"/>
          <w:szCs w:val="21"/>
        </w:rPr>
        <w:t xml:space="preserve">Dove nel libro: Capitolo 10, «Dalla generazione all’opera» (From Generation to a Work), «Qui c’è stata una persona» (A Person Was Here); Capitolo 9, «Ricostruire la fiducia pubblica» (Rebuilding Public Trust).</w:t>
      </w:r>
    </w:p>
    <w:p>
      <w:pPr>
        <w:spacing w:after="100" w:line="270" w:lineRule="exact"/>
      </w:pPr>
      <w:r>
        <w:rPr>
          <w:rFonts w:ascii="EB Garamond" w:hAnsi="EB Garamond" w:eastAsia="EB Garamond" w:cs="EB Garamond"/>
          <w:color w:val="1F2D33"/>
          <w:sz w:val="21"/>
          <w:szCs w:val="21"/>
        </w:rPr>
        <w:t xml:space="preserve">Provenienza, dichiarazione degli strumenti e firma distribuiscono storia, trasparenza e responsabilità senza assegnare automaticamente valore a un’opera.</w:t>
      </w:r>
    </w:p>
    <w:p>
      <w:pPr>
        <w:keepNext/>
        <w:spacing w:before="200" w:after="80" w:line="300" w:lineRule="exact"/>
      </w:pPr>
      <w:r>
        <w:rPr>
          <w:rFonts w:ascii="EB Garamond" w:hAnsi="EB Garamond" w:eastAsia="EB Garamond" w:cs="EB Garamond"/>
          <w:b/>
          <w:color w:val="183445"/>
          <w:sz w:val="23"/>
          <w:szCs w:val="23"/>
        </w:rPr>
        <w:t xml:space="preserve">Affetti, minori e asimmetria relazionale</w:t>
      </w:r>
    </w:p>
    <w:p>
      <w:pPr>
        <w:spacing w:after="40" w:line="270" w:lineRule="exact"/>
        <w:keepNext/>
      </w:pPr>
      <w:r>
        <w:rPr>
          <w:rFonts w:ascii="EB Garamond" w:hAnsi="EB Garamond" w:eastAsia="EB Garamond" w:cs="EB Garamond"/>
          <w:i/>
          <w:color w:val="5A686F"/>
          <w:sz w:val="21"/>
          <w:szCs w:val="21"/>
        </w:rPr>
        <w:t xml:space="preserve">Dove nel libro: Capitolo 11, «L’amico che non dorme mai» (The Friend Who Never Sleeps), «L’asimmetria» (The Asymmetry), «Il modello economico degli affetti» (The Business Model of Affection); Capitolo 15, «I morti che non se ne vanno mai» (The Dead Who Never Leave); Capitolo 16, «Quando la risposta è non adottare» (Deciding Against Adoption).</w:t>
      </w:r>
    </w:p>
    <w:p>
      <w:pPr>
        <w:spacing w:after="100" w:line="270" w:lineRule="exact"/>
      </w:pPr>
      <w:r>
        <w:rPr>
          <w:rFonts w:ascii="EB Garamond" w:hAnsi="EB Garamond" w:eastAsia="EB Garamond" w:cs="EB Garamond"/>
          <w:color w:val="1F2D33"/>
          <w:sz w:val="21"/>
          <w:szCs w:val="21"/>
        </w:rPr>
        <w:t xml:space="preserve">Il conforto può diventare un ponte o una gabbia secondo memoria, incentivi, libertà di smettere e apertura verso altre relazioni.</w:t>
      </w:r>
    </w:p>
    <w:p>
      <w:pPr>
        <w:keepNext/>
        <w:spacing w:before="200" w:after="80" w:line="300" w:lineRule="exact"/>
      </w:pPr>
      <w:r>
        <w:rPr>
          <w:rFonts w:ascii="EB Garamond" w:hAnsi="EB Garamond" w:eastAsia="EB Garamond" w:cs="EB Garamond"/>
          <w:b/>
          <w:color w:val="183445"/>
          <w:sz w:val="23"/>
          <w:szCs w:val="23"/>
        </w:rPr>
        <w:t xml:space="preserve">Privacy, profilazione e intervalli non misurati</w:t>
      </w:r>
    </w:p>
    <w:p>
      <w:pPr>
        <w:spacing w:after="40" w:line="270" w:lineRule="exact"/>
        <w:keepNext/>
      </w:pPr>
      <w:r>
        <w:rPr>
          <w:rFonts w:ascii="EB Garamond" w:hAnsi="EB Garamond" w:eastAsia="EB Garamond" w:cs="EB Garamond"/>
          <w:i/>
          <w:color w:val="5A686F"/>
          <w:sz w:val="21"/>
          <w:szCs w:val="21"/>
        </w:rPr>
        <w:t xml:space="preserve">Dove nel libro: Capitolo 5, «Il Mandato dello sguardo pubblico» (The Mandate of the Public Gaze); Capitolo 12, «Quando il bias entra nel sistema» (When Bias Enters the System), «I diritti nell’era della previsione» (Rights in the Age of Prediction); Capitolo 11, «Il modello economico degli affetti» (The Business Model of Affection).</w:t>
      </w:r>
    </w:p>
    <w:p>
      <w:pPr>
        <w:spacing w:after="100" w:line="270" w:lineRule="exact"/>
      </w:pPr>
      <w:r>
        <w:rPr>
          <w:rFonts w:ascii="EB Garamond" w:hAnsi="EB Garamond" w:eastAsia="EB Garamond" w:cs="EB Garamond"/>
          <w:color w:val="1F2D33"/>
          <w:sz w:val="21"/>
          <w:szCs w:val="21"/>
        </w:rPr>
        <w:t xml:space="preserve">Proteggere non autorizza automaticamente a comandare, e una persona deve poter cambiare senza produrre immediatamente un profilo operativo.</w:t>
      </w:r>
    </w:p>
    <w:p>
      <w:pPr>
        <w:keepNext/>
        <w:spacing w:before="200" w:after="80" w:line="300" w:lineRule="exact"/>
      </w:pPr>
      <w:r>
        <w:rPr>
          <w:rFonts w:ascii="EB Garamond" w:hAnsi="EB Garamond" w:eastAsia="EB Garamond" w:cs="EB Garamond"/>
          <w:b/>
          <w:color w:val="183445"/>
          <w:sz w:val="23"/>
          <w:szCs w:val="23"/>
        </w:rPr>
        <w:t xml:space="preserve">Costo del controllo, danno residuo e capacità organizzativa</w:t>
      </w:r>
    </w:p>
    <w:p>
      <w:pPr>
        <w:spacing w:after="40" w:line="270" w:lineRule="exact"/>
        <w:keepNext/>
      </w:pPr>
      <w:r>
        <w:rPr>
          <w:rFonts w:ascii="EB Garamond" w:hAnsi="EB Garamond" w:eastAsia="EB Garamond" w:cs="EB Garamond"/>
          <w:i/>
          <w:color w:val="5A686F"/>
          <w:sz w:val="21"/>
          <w:szCs w:val="21"/>
        </w:rPr>
        <w:t xml:space="preserve">Dove nel libro: Capitolo 7, «Il protocollo di prova» (The Testing Protocol); Capitolo 8, «Diagnosi aumentata e rischio di scambiare la precisione per verità» (Augmented Diagnosis and the Risk of Mistaking Precision for Truth); Capitolo 14, «La manutenzione decide chi conserva voce» (Maintenance Determines Who Keeps a Voice); Interludio II, «Il costo del controllo» (The Cost of Control), «Il danno che resta» (The Harm That Remains); Appendice, Strumenti per il lettore (Tools for the Reader), «Le sette domande del Test del 2050» (The Seven Questions of the 2050 Test).</w:t>
      </w:r>
    </w:p>
    <w:p>
      <w:pPr>
        <w:spacing w:after="100" w:line="270" w:lineRule="exact"/>
      </w:pPr>
      <w:r>
        <w:rPr>
          <w:rFonts w:ascii="EB Garamond" w:hAnsi="EB Garamond" w:eastAsia="EB Garamond" w:cs="EB Garamond"/>
          <w:color w:val="1F2D33"/>
          <w:sz w:val="21"/>
          <w:szCs w:val="21"/>
        </w:rPr>
        <w:t xml:space="preserve">Verificare richiede tempo e competenza senza promettere rischio zero. Deve lasciare una registrazione che sostenga ricostruzione e riparazione, con la possibilità di restringere il sistema.</w:t>
      </w:r>
    </w:p>
    <w:p>
      <w:pPr>
        <w:keepNext/>
        <w:spacing w:before="200" w:after="80" w:line="300" w:lineRule="exact"/>
      </w:pPr>
      <w:r>
        <w:rPr>
          <w:rFonts w:ascii="EB Garamond" w:hAnsi="EB Garamond" w:eastAsia="EB Garamond" w:cs="EB Garamond"/>
          <w:b/>
          <w:color w:val="183445"/>
          <w:sz w:val="23"/>
          <w:szCs w:val="23"/>
        </w:rPr>
        <w:t xml:space="preserve">Sostenibilità materiale e giustizia</w:t>
      </w:r>
    </w:p>
    <w:p>
      <w:pPr>
        <w:spacing w:after="40" w:line="270" w:lineRule="exact"/>
        <w:keepNext/>
      </w:pPr>
      <w:r>
        <w:rPr>
          <w:rFonts w:ascii="EB Garamond" w:hAnsi="EB Garamond" w:eastAsia="EB Garamond" w:cs="EB Garamond"/>
          <w:i/>
          <w:color w:val="5A686F"/>
          <w:sz w:val="21"/>
          <w:szCs w:val="21"/>
        </w:rPr>
        <w:t xml:space="preserve">Dove nel libro: Capitolo 3, «Il giorno in cui il mondo si ferma senza rumore» (The Day the World Stops Without a Sound); Capitolo 13, «La filiera nascosta: miniere, fabbriche, logistica e rifiuti» (The Hidden Supply Chain: Mines, Factories, Logistics, and Waste), «Acqua e territorio intorno al data center» (Water and Land Around the Data Center), «Una nuova idea di progresso» (A New Idea of Progress); Capitolo 14, «La cooperazione oltre i confini» (Cooperation Across Borders).</w:t>
      </w:r>
    </w:p>
    <w:p>
      <w:pPr>
        <w:spacing w:after="100" w:line="270" w:lineRule="exact"/>
      </w:pPr>
      <w:r>
        <w:rPr>
          <w:rFonts w:ascii="EB Garamond" w:hAnsi="EB Garamond" w:eastAsia="EB Garamond" w:cs="EB Garamond"/>
          <w:color w:val="1F2D33"/>
          <w:sz w:val="21"/>
          <w:szCs w:val="21"/>
        </w:rPr>
        <w:t xml:space="preserve">Energia, acqua, minerali, apparecchiature, lavoro e rifiuti formano una filiera di decisioni, non un costo astratto.</w:t>
      </w:r>
    </w:p>
    <w:p>
      <w:pPr>
        <w:keepNext/>
        <w:spacing w:before="200" w:after="80" w:line="300" w:lineRule="exact"/>
      </w:pPr>
      <w:r>
        <w:rPr>
          <w:rFonts w:ascii="EB Garamond" w:hAnsi="EB Garamond" w:eastAsia="EB Garamond" w:cs="EB Garamond"/>
          <w:b/>
          <w:color w:val="183445"/>
          <w:sz w:val="23"/>
          <w:szCs w:val="23"/>
        </w:rPr>
        <w:t xml:space="preserve">Dipendenza strategica, manutenzione e voce infrastrutturale</w:t>
      </w:r>
    </w:p>
    <w:p>
      <w:pPr>
        <w:spacing w:after="40" w:line="270" w:lineRule="exact"/>
        <w:keepNext/>
      </w:pPr>
      <w:r>
        <w:rPr>
          <w:rFonts w:ascii="EB Garamond" w:hAnsi="EB Garamond" w:eastAsia="EB Garamond" w:cs="EB Garamond"/>
          <w:i/>
          <w:color w:val="5A686F"/>
          <w:sz w:val="21"/>
          <w:szCs w:val="21"/>
        </w:rPr>
        <w:t xml:space="preserve">Dove nel libro: Capitolo 3, «Il giorno in cui il mondo si ferma senza rumore» (The Day the World Stops Without a Sound); Capitolo 14, «La manutenzione decide chi conserva voce» (Maintenance Determines Who Keeps a Voice), «L’infrastruttura dietro il contratto» (The Infrastructure Behind the Contract).</w:t>
      </w:r>
    </w:p>
    <w:p>
      <w:pPr>
        <w:spacing w:after="100" w:line="270" w:lineRule="exact"/>
      </w:pPr>
      <w:r>
        <w:rPr>
          <w:rFonts w:ascii="EB Garamond" w:hAnsi="EB Garamond" w:eastAsia="EB Garamond" w:cs="EB Garamond"/>
          <w:color w:val="1F2D33"/>
          <w:sz w:val="21"/>
          <w:szCs w:val="21"/>
        </w:rPr>
        <w:t xml:space="preserve">L’autonomia relativa cresce attraverso alternative, competenza locale, norme tecniche e poteri concreti di sospendere, correggere ed esportare.</w:t>
      </w:r>
    </w:p>
    <w:p>
      <w:pPr>
        <w:keepNext/>
        <w:spacing w:before="200" w:after="80" w:line="300" w:lineRule="exact"/>
      </w:pPr>
      <w:r>
        <w:rPr>
          <w:rFonts w:ascii="EB Garamond" w:hAnsi="EB Garamond" w:eastAsia="EB Garamond" w:cs="EB Garamond"/>
          <w:b/>
          <w:color w:val="183445"/>
          <w:sz w:val="23"/>
          <w:szCs w:val="23"/>
        </w:rPr>
        <w:t xml:space="preserve">Disuguaglianza e accesso</w:t>
      </w:r>
    </w:p>
    <w:p>
      <w:pPr>
        <w:spacing w:after="40" w:line="270" w:lineRule="exact"/>
        <w:keepNext/>
      </w:pPr>
      <w:r>
        <w:rPr>
          <w:rFonts w:ascii="EB Garamond" w:hAnsi="EB Garamond" w:eastAsia="EB Garamond" w:cs="EB Garamond"/>
          <w:i/>
          <w:color w:val="5A686F"/>
          <w:sz w:val="21"/>
          <w:szCs w:val="21"/>
        </w:rPr>
        <w:t xml:space="preserve">Dove nel libro: Interludio I, «4. Distribuzione—Chi beneficia, chi paga e chi può opporsi?» (4. Distribution—Who Benefits, Who Pays, and Who Can Object?); Capitolo 4, «Dove ricade la responsabilità» (Where Responsibility Falls); Capitolo 5, «La città come patto civico» (The City as a Civic Compact); Capitolo 6, «Il giudizio oltre lo strumento» (Judgment Beyond the Tool); Capitolo 8, «Curare senza disumanizzare» (Caring Without Dehumanizing); Capitolo 12, «I diritti nell’era della previsione» (Rights in the Age of Prediction); Capitolo 13, «Una nuova idea di progresso» (A New Idea of Progress); Capitolo 14, «L’autonomia nell’interdipendenza» (Autonomy Within Interdependence).</w:t>
      </w:r>
    </w:p>
    <w:p>
      <w:pPr>
        <w:spacing w:after="100" w:line="270" w:lineRule="exact"/>
      </w:pPr>
      <w:r>
        <w:rPr>
          <w:rFonts w:ascii="EB Garamond" w:hAnsi="EB Garamond" w:eastAsia="EB Garamond" w:cs="EB Garamond"/>
          <w:color w:val="1F2D33"/>
          <w:sz w:val="21"/>
          <w:szCs w:val="21"/>
        </w:rPr>
        <w:t xml:space="preserve">Benefici, attese, protezioni e costi cambiano secondo reddito, territorio, capacità amministrativa e accesso a un rimedio.</w:t>
      </w:r>
    </w:p>
    <w:p>
      <w:pPr>
        <w:keepNext/>
        <w:spacing w:before="200" w:after="80" w:line="300" w:lineRule="exact"/>
      </w:pPr>
      <w:r>
        <w:rPr>
          <w:rFonts w:ascii="EB Garamond" w:hAnsi="EB Garamond" w:eastAsia="EB Garamond" w:cs="EB Garamond"/>
          <w:b/>
          <w:color w:val="183445"/>
          <w:sz w:val="23"/>
          <w:szCs w:val="23"/>
        </w:rPr>
        <w:t xml:space="preserve">Memoria, archivio, simulazione e oblio</w:t>
      </w:r>
    </w:p>
    <w:p>
      <w:pPr>
        <w:spacing w:after="40" w:line="270" w:lineRule="exact"/>
        <w:keepNext/>
      </w:pPr>
      <w:r>
        <w:rPr>
          <w:rFonts w:ascii="EB Garamond" w:hAnsi="EB Garamond" w:eastAsia="EB Garamond" w:cs="EB Garamond"/>
          <w:i/>
          <w:color w:val="5A686F"/>
          <w:sz w:val="21"/>
          <w:szCs w:val="21"/>
        </w:rPr>
        <w:t xml:space="preserve">Dove nel libro: Capitolo 15, «I morti che non se ne vanno mai» (The Dead Who Never Leave), «Parlare con chi non c’è più» (Talking to Those Who Are Gone), «Il diritto di scomparire» (The Right to Disappear), «La memoria non è un archivio» (Memory Is Not an Archive); Capitolo 11, «L’amico che non dorme mai» (The Friend Who Never Sleeps); Capitolo 12, «I diritti nell’era della previsione» (Rights in the Age of Prediction); Epilogo, «Ciò che non deleghiamo» (What We Do Not Delegate).</w:t>
      </w:r>
    </w:p>
    <w:p>
      <w:pPr>
        <w:spacing w:after="100" w:line="270" w:lineRule="exact"/>
      </w:pPr>
      <w:r>
        <w:rPr>
          <w:rFonts w:ascii="EB Garamond" w:hAnsi="EB Garamond" w:eastAsia="EB Garamond" w:cs="EB Garamond"/>
          <w:color w:val="1F2D33"/>
          <w:sz w:val="21"/>
          <w:szCs w:val="21"/>
        </w:rPr>
        <w:t xml:space="preserve">Conservare tracce, organizzare un memoriale e generare parole nuove sono atti diversi, con Mandati e diritti diversi.</w:t>
      </w:r>
    </w:p>
    <w:p>
      <w:pPr>
        <w:keepNext/>
        <w:spacing w:before="200" w:after="80" w:line="300" w:lineRule="exact"/>
      </w:pPr>
      <w:r>
        <w:rPr>
          <w:rFonts w:ascii="EB Garamond" w:hAnsi="EB Garamond" w:eastAsia="EB Garamond" w:cs="EB Garamond"/>
          <w:b/>
          <w:color w:val="183445"/>
          <w:sz w:val="23"/>
          <w:szCs w:val="23"/>
        </w:rPr>
        <w:t xml:space="preserve">Ciclo di vita, monitoraggio e uscita</w:t>
      </w:r>
    </w:p>
    <w:p>
      <w:pPr>
        <w:spacing w:after="40" w:line="270" w:lineRule="exact"/>
        <w:keepNext/>
      </w:pPr>
      <w:r>
        <w:rPr>
          <w:rFonts w:ascii="EB Garamond" w:hAnsi="EB Garamond" w:eastAsia="EB Garamond" w:cs="EB Garamond"/>
          <w:i/>
          <w:color w:val="5A686F"/>
          <w:sz w:val="21"/>
          <w:szCs w:val="21"/>
        </w:rPr>
        <w:t xml:space="preserve">Dove nel libro: Capitolo 7, «Il protocollo di prova» (The Testing Protocol); Capitolo 16, «Prima dell’uso: scheda e Mandato» (Before Use: Worksheet and Mandate), «Durante l’uso: registro e supervisione» (During Use: Log and Oversight), «Quando qualcosa devia: incidente e Ricorso» (When Something Goes Off Course: Incident and Redress), «La continuità quando un sistema chiude» (Continuity When a System Closes); Appendice, Strumenti per il lettore (Tools for the Reader), «Le sette domande del Test del 2050» (The Seven Questions of the 2050 Test), «La scheda minima» (The Minimum Worksheet), «Esempio sintetico: Davide, 15 ottobre 2050, e seguito» (Condensed Example: Davide, October 15, 2050, and Follow-up).</w:t>
      </w:r>
    </w:p>
    <w:p>
      <w:pPr>
        <w:spacing w:after="100" w:line="270" w:lineRule="exact"/>
      </w:pPr>
      <w:r>
        <w:rPr>
          <w:rFonts w:ascii="EB Garamond" w:hAnsi="EB Garamond" w:eastAsia="EB Garamond" w:cs="EB Garamond"/>
          <w:color w:val="1F2D33"/>
          <w:sz w:val="21"/>
          <w:szCs w:val="21"/>
        </w:rPr>
        <w:t xml:space="preserve">Scheda, registro, incidente, Ricorso, prova d’uscita e riesame mantengono osservabile il Mandato mentre cambiano modello, dati, scala o responsabili.</w:t>
      </w:r>
    </w:p>
    <w:p>
      <w:pPr>
        <w:keepNext/>
        <w:spacing w:before="200" w:after="80" w:line="300" w:lineRule="exact"/>
      </w:pPr>
      <w:r>
        <w:rPr>
          <w:rFonts w:ascii="EB Garamond" w:hAnsi="EB Garamond" w:eastAsia="EB Garamond" w:cs="EB Garamond"/>
          <w:b/>
          <w:color w:val="183445"/>
          <w:sz w:val="23"/>
          <w:szCs w:val="23"/>
        </w:rPr>
        <w:t xml:space="preserve">Non delegare, costo del no e riapertura</w:t>
      </w:r>
    </w:p>
    <w:p>
      <w:pPr>
        <w:spacing w:after="40" w:line="270" w:lineRule="exact"/>
        <w:keepNext/>
      </w:pPr>
      <w:r>
        <w:rPr>
          <w:rFonts w:ascii="EB Garamond" w:hAnsi="EB Garamond" w:eastAsia="EB Garamond" w:cs="EB Garamond"/>
          <w:i/>
          <w:color w:val="5A686F"/>
          <w:sz w:val="21"/>
          <w:szCs w:val="21"/>
        </w:rPr>
        <w:t xml:space="preserve">Dove nel libro: Capitolo 16, «Quando la risposta è non adottare» (Deciding Against Adoption), «Il costo del no e la riapertura» (The Costs of Refusal and Reconsideration); Epilogo, «Ciò che non deleghiamo» (What We Do Not Delegate); Appendice, Strumenti per il lettore (Tools for the Reader), «Esempio sintetico: Davide, 15 ottobre 2050, e seguito» (Condensed Example: Davide, October 15, 2050, and Follow-up).</w:t>
      </w:r>
    </w:p>
    <w:p>
      <w:pPr>
        <w:spacing w:after="100" w:line="270" w:lineRule="exact"/>
      </w:pPr>
      <w:r>
        <w:rPr>
          <w:rFonts w:ascii="EB Garamond" w:hAnsi="EB Garamond" w:eastAsia="EB Garamond" w:cs="EB Garamond"/>
          <w:color w:val="1F2D33"/>
          <w:sz w:val="21"/>
          <w:szCs w:val="21"/>
        </w:rPr>
        <w:t xml:space="preserve">Il rifiuto registra protezioni e costi mantenendo un’alternativa. Una nuova prova può riaprire la decisione senza cancellare il primo giudizio.</w:t>
      </w:r>
    </w:p>
    <w:sectPr>
      <w:headerReference w:type="default" r:id="rId9"/>
      <w:footerReference w:type="default" r:id="rId10"/>
      <w:footerReference w:type="first" r:id="rId11"/>
      <w:pgSz w:w="12240" w:h="15840"/>
      <w:pgMar w:top="1008" w:right="1008" w:bottom="1008"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152" w:val="left"/>
      </w:tabs>
      <w:spacing w:before="0" w:after="0" w:line="200" w:lineRule="exact"/>
    </w:pPr>
    <w:r>
      <w:rPr>
        <w:rFonts w:ascii="EB Garamond" w:hAnsi="EB Garamond" w:eastAsia="EB Garamond" w:cs="EB Garamond"/>
        <w:color w:val="65757D"/>
        <w:sz w:val="16"/>
        <w:szCs w:val="16"/>
      </w:rPr>
      <w:t>2050 - IT-R2.3 - Quadro documentale: luglio 2026</w:t>
    </w:r>
    <w:r>
      <w:tab/>
      <w:rPr>
        <w:rFonts w:ascii="EB Garamond" w:hAnsi="EB Garamond" w:eastAsia="EB Garamond" w:cs="EB Garamond"/>
        <w:sz w:val="16"/>
        <w:szCs w:val="16"/>
        <w:color w:val="65757D"/>
      </w:rPr>
    </w:r>
    <w:r>
      <w:rPr>
        <w:rFonts w:ascii="EB Garamond" w:hAnsi="EB Garamond" w:eastAsia="EB Garamond" w:cs="EB Garamond"/>
        <w:color w:val="65757D"/>
        <w:sz w:val="16"/>
        <w:szCs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exact"/>
    </w:pPr>
    <w:r>
      <w:rPr>
        <w:rFonts w:ascii="EB Garamond" w:hAnsi="EB Garamond" w:eastAsia="EB Garamond" w:cs="EB Garamond"/>
        <w:color w:val="65757D"/>
        <w:sz w:val="16"/>
        <w:szCs w:val="16"/>
      </w:rPr>
      <w:t>https://www.corneritaliano.com/2050/risorse/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jc w:val="left"/>
    </w:pPr>
    <w:r>
      <w:rPr>
        <w:rFonts w:ascii="EB Garamond" w:hAnsi="EB Garamond" w:eastAsia="EB Garamond" w:cs="EB Garamond"/>
        <w:b/>
        <w:color w:val="65757D"/>
        <w:sz w:val="16"/>
        <w:szCs w:val="16"/>
      </w:rPr>
      <w:t xml:space="preserve">2050  |  RISORSE UFFICIALI  |  Mappa tematica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1"/>
        <w:szCs w:val="21"/>
        <w:lang w:val="it-IT" w:eastAsia="it-IT"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0" w:lineRule="exact"/>
    </w:pPr>
    <w:rPr>
      <w:rFonts w:ascii="EB Garamond" w:hAnsi="EB Garamond" w:eastAsia="EB Garamond"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EB Garamond"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EB Garamond" w:cs="EB Garamond"/>
    </w:rPr>
  </w:style>
  <w:style w:type="paragraph" w:styleId="Heading1">
    <w:name w:val="heading 1"/>
    <w:basedOn w:val="Normal"/>
    <w:next w:val="Normal"/>
    <w:link w:val="Heading1Char"/>
    <w:uiPriority w:val="9"/>
    <w:qFormat/>
    <w:rsid w:val="00FC693F"/>
    <w:pPr>
      <w:keepNext/>
      <w:keepLines/>
      <w:spacing w:before="320" w:after="160"/>
      <w:outlineLvl w:val="0"/>
    </w:pPr>
    <w:rPr>
      <w:rFonts w:ascii="EB Garamond" w:hAnsi="EB Garamond" w:eastAsia="EB Garamond"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EB Garamond" w:hAnsi="EB Garamond" w:eastAsia="EB Garamond"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EB Garamond" w:hAnsi="EB Garamond" w:eastAsia="EB Garamond"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rPr>
      <w:rFonts w:ascii="EB Garamond" w:hAnsi="EB Garamond" w:eastAsia="EB Garamond"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EB Garamond" w:cs="EB Garamond"/>
    </w:rPr>
  </w:style>
  <w:style w:type="numbering" w:default="1" w:styleId="NoList">
    <w:name w:val="No List"/>
    <w:uiPriority w:val="99"/>
    <w:semiHidden/>
    <w:unhideWhenUsed/>
    <w:rPr>
      <w:rFonts w:ascii="EB Garamond" w:hAnsi="EB Garamond" w:eastAsia="EB Garamond" w:cs="EB Garamond"/>
    </w:rPr>
  </w:style>
  <w:style w:type="paragraph" w:styleId="NoSpacing">
    <w:name w:val="No Spacing"/>
    <w:uiPriority w:val="1"/>
    <w:qFormat/>
    <w:rsid w:val="00FC693F"/>
    <w:pPr>
      <w:spacing w:after="0" w:line="240" w:lineRule="auto"/>
    </w:pPr>
    <w:rPr>
      <w:rFonts w:ascii="EB Garamond" w:hAnsi="EB Garamond" w:eastAsia="EB Garamond" w:cs="EB Garamond"/>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EB Garamond" w:hAnsi="EB Garamond" w:eastAsia="EB Garamond"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EB Garamond" w:hAnsi="EB Garamond" w:eastAsia="EB Garamond"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rPr>
  </w:style>
  <w:style w:type="character" w:customStyle="1" w:styleId="BodyTextChar">
    <w:name w:val="Body Text Char"/>
    <w:basedOn w:val="DefaultParagraphFont"/>
    <w:link w:val="BodyText"/>
    <w:uiPriority w:val="99"/>
    <w:rsid w:val="00AA1D8D"/>
    <w:rPr>
      <w:rFonts w:ascii="EB Garamond" w:hAnsi="EB Garamond" w:eastAsia="EB Garamond"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rPr>
  </w:style>
  <w:style w:type="character" w:customStyle="1" w:styleId="BodyText2Char">
    <w:name w:val="Body Text 2 Char"/>
    <w:basedOn w:val="DefaultParagraphFont"/>
    <w:link w:val="BodyText2"/>
    <w:uiPriority w:val="99"/>
    <w:rsid w:val="00AA1D8D"/>
    <w:rPr>
      <w:rFonts w:ascii="EB Garamond" w:hAnsi="EB Garamond" w:eastAsia="EB Garamond"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EB Garamond"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EB Garamond" w:cs="EB Garamond"/>
    </w:rPr>
  </w:style>
  <w:style w:type="paragraph" w:styleId="List">
    <w:name w:val="List"/>
    <w:basedOn w:val="Normal"/>
    <w:uiPriority w:val="99"/>
    <w:unhideWhenUsed/>
    <w:rsid w:val="00AA1D8D"/>
    <w:pPr>
      <w:ind w:left="360" w:hanging="360"/>
      <w:contextualSpacing/>
    </w:pPr>
    <w:rPr>
      <w:rFonts w:ascii="EB Garamond" w:hAnsi="EB Garamond" w:eastAsia="EB Garamond" w:cs="EB Garamond"/>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EB Garamond" w:cs="EB Garamond"/>
    </w:rPr>
  </w:style>
  <w:style w:type="character" w:customStyle="1" w:styleId="QuoteChar">
    <w:name w:val="Quote Char"/>
    <w:basedOn w:val="DefaultParagraphFont"/>
    <w:link w:val="Quote"/>
    <w:uiPriority w:val="29"/>
    <w:rsid w:val="00FC693F"/>
    <w:rPr>
      <w:i/>
      <w:iCs/>
      <w:color w:val="000000"/>
      <w:rFonts w:ascii="EB Garamond" w:hAnsi="EB Garamond" w:eastAsia="EB Garamond" w:cs="EB Garamond"/>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EB Garamond" w:cs="EB Garamond"/>
    </w:rPr>
  </w:style>
  <w:style w:type="character" w:styleId="Strong">
    <w:name w:val="Strong"/>
    <w:basedOn w:val="DefaultParagraphFont"/>
    <w:uiPriority w:val="22"/>
    <w:qFormat/>
    <w:rsid w:val="00FC693F"/>
    <w:rPr>
      <w:b/>
      <w:bCs/>
      <w:rFonts w:ascii="EB Garamond" w:hAnsi="EB Garamond" w:eastAsia="EB Garamond" w:cs="EB Garamond"/>
    </w:rPr>
  </w:style>
  <w:style w:type="character" w:styleId="Emphasis">
    <w:name w:val="Emphasis"/>
    <w:basedOn w:val="DefaultParagraphFont"/>
    <w:uiPriority w:val="20"/>
    <w:qFormat/>
    <w:rsid w:val="00FC693F"/>
    <w:rPr>
      <w:i/>
      <w:iCs/>
      <w:rFonts w:ascii="EB Garamond" w:hAnsi="EB Garamond" w:eastAsia="EB Garamond"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EB Garamond"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EB Garamond" w:cs="EB Garamond"/>
    </w:rPr>
  </w:style>
  <w:style w:type="character" w:styleId="SubtleEmphasis">
    <w:name w:val="Subtle Emphasis"/>
    <w:basedOn w:val="DefaultParagraphFont"/>
    <w:uiPriority w:val="19"/>
    <w:qFormat/>
    <w:rsid w:val="00FC693F"/>
    <w:rPr>
      <w:i/>
      <w:iCs/>
      <w:color w:val="808080"/>
      <w:rFonts w:ascii="EB Garamond" w:hAnsi="EB Garamond" w:eastAsia="EB Garamond" w:cs="EB Garamond"/>
    </w:rPr>
  </w:style>
  <w:style w:type="character" w:styleId="IntenseEmphasis">
    <w:name w:val="Intense Emphasis"/>
    <w:basedOn w:val="DefaultParagraphFont"/>
    <w:uiPriority w:val="21"/>
    <w:qFormat/>
    <w:rsid w:val="00FC693F"/>
    <w:rPr>
      <w:b/>
      <w:bCs/>
      <w:i/>
      <w:iCs/>
      <w:color w:val="4F81BD"/>
      <w:rFonts w:ascii="EB Garamond" w:hAnsi="EB Garamond" w:eastAsia="EB Garamond"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EB Garamond"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EB Garamond" w:cs="EB Garamond"/>
    </w:rPr>
  </w:style>
  <w:style w:type="character" w:styleId="BookTitle">
    <w:name w:val="Book Title"/>
    <w:basedOn w:val="DefaultParagraphFont"/>
    <w:uiPriority w:val="33"/>
    <w:qFormat/>
    <w:rsid w:val="00FC693F"/>
    <w:rPr>
      <w:b/>
      <w:bCs/>
      <w:smallCaps/>
      <w:spacing w:val="5"/>
      <w:rFonts w:ascii="EB Garamond" w:hAnsi="EB Garamond" w:eastAsia="EB Garamond"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EB Garamond"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EB Garamond"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EB Garamond"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EB Garamond"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EB Garamond"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EB Garamond"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EB Garamond"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EB Garamond"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EB Garamond"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EB Garamond"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EB Garamond"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EB Garamond"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EB Garamond"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EB Garamond"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EB Garamond"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List1">
    <w:name w:val="Medium Lis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EB Garamond"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EB Garamond"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EB Garamond"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EB Garamond"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EB Garamond"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EB Garamond"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EB Garamond" w:cs="EB Garamond"/>
    </w:r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EB Garamond"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EB Garamond"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EB Garamond"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EB Garamond"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EB Garamond"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EB Garamond"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EB Garamond" w:cs="EB Garamond"/>
    </w:rPr>
  </w:style>
  <w:style w:type="table" w:styleId="DarkList">
    <w:name w:val="Dark List"/>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corneritaliano.com/2050/risors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tematica | IT-R2.3 | Italiano | English source V51.2</dc:title>
  <dc:subject>Mappa tematica | IT-R2.3 | Italiano | English source V51.2</dc:subject>
  <dc:creator>Marco De Prosperis</dc:creator>
  <cp:keywords>2050, EN-US-R2.3, July 2026 documentary snapshot, revised English interior</cp:keywords>
  <dc:description>Mappa tematica | IT-R2.3 | Italiano | English source V51.2</dc:description>
  <cp:lastModifiedBy>Corner Italiano LLC</cp:lastModifiedBy>
  <cp:revision>2</cp:revision>
  <dcterms:created xsi:type="dcterms:W3CDTF">2013-12-23T23:15:00Z</dcterms:created>
  <dcterms:modified xsi:type="dcterms:W3CDTF">2026-09-10T15:55:33Z</dcterms:modified>
  <cp:category/>
  <dc:language>it-IT</dc:language>
</cp:coreProperties>
</file>