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jc w:val="center"/>
      </w:pPr>
      <w:r>
        <w:rPr>
          <w:rFonts w:ascii="DejaVu Sans" w:hAnsi="DejaVu Sans" w:eastAsia="DejaVu Sans"/>
          <w:b/>
          <w:color w:val="B54B2A"/>
          <w:sz w:val="16"/>
        </w:rPr>
        <w:t>CORNER ITALIANO  |  OFFIZIELLE RESSOURCEN</w:t>
      </w:r>
    </w:p>
    <w:p>
      <w:pPr>
        <w:spacing w:before="560"/>
        <w:jc w:val="center"/>
      </w:pPr>
      <w:r>
        <w:rPr>
          <w:rFonts w:ascii="DejaVu Sans" w:hAnsi="DejaVu Sans" w:eastAsia="DejaVu Sans"/>
          <w:b/>
          <w:color w:val="123044"/>
          <w:sz w:val="50"/>
        </w:rPr>
        <w:t>Der 2050-Test</w:t>
      </w:r>
    </w:p>
    <w:p>
      <w:pPr>
        <w:jc w:val="center"/>
      </w:pPr>
      <w:r>
        <w:rPr>
          <w:rFonts w:ascii="DejaVu Sans" w:hAnsi="DejaVu Sans" w:eastAsia="DejaVu Sans"/>
          <w:b/>
          <w:color w:val="123044"/>
          <w:sz w:val="44"/>
        </w:rPr>
        <w:t>Arbeitsheft</w:t>
      </w:r>
    </w:p>
    <w:p>
      <w:pPr>
        <w:spacing w:before="200"/>
        <w:jc w:val="center"/>
      </w:pPr>
      <w:r>
        <w:rPr>
          <w:rFonts w:ascii="DejaVu Sans" w:hAnsi="DejaVu Sans" w:eastAsia="DejaVu Sans"/>
          <w:color w:val="5D6870"/>
          <w:sz w:val="18"/>
        </w:rPr>
        <w:t>Drei Vokabulare, sieben Fragen, Überwachung, Entscheidung und erneute Prüfung.</w:t>
      </w:r>
    </w:p>
    <w:p>
      <w:pPr>
        <w:spacing w:before="600"/>
        <w:jc w:val="center"/>
      </w:pPr>
      <w:r>
        <w:rPr>
          <w:rFonts w:ascii="DejaVu Sans" w:hAnsi="DejaVu Sans" w:eastAsia="DejaVu Sans"/>
          <w:color w:val="234C61"/>
          <w:sz w:val="18"/>
        </w:rPr>
        <w:t>Stand der deutschen Ausgabe - Juli 2026 - Format US Letter (8,5 x 11 Zoll)</w:t>
      </w:r>
    </w:p>
    <w:p>
      <w:pPr>
        <w:spacing w:before="520"/>
        <w:jc w:val="center"/>
      </w:pPr>
      <w:hyperlink r:id="rId12">
        <w:r>
          <w:rPr>
            <w:rFonts w:ascii="DejaVu Sans" w:hAnsi="DejaVu Sans" w:eastAsia="DejaVu Sans"/>
            <w:color w:val="234C61"/>
            <w:u w:val="single"/>
            <w:sz w:val="18"/>
          </w:rPr>
          <w:t>https://www.corneritaliano.com/de/2050/ressourcen/</w:t>
        </w:r>
      </w:hyperlink>
    </w:p>
    <w:p>
      <w:pPr>
        <w:spacing w:before="800"/>
        <w:jc w:val="center"/>
      </w:pPr>
      <w:r>
        <w:rPr>
          <w:rFonts w:ascii="DejaVu Sans" w:hAnsi="DejaVu Sans" w:eastAsia="DejaVu Sans"/>
          <w:i/>
          <w:color w:val="5D6870"/>
          <w:sz w:val="15"/>
        </w:rPr>
        <w:t>Drucken Sie mit 100 % auf US-Letter-Papier (8,5 x 11 Zoll). Tragen Sie Tatsachen, Dokumente, Version und Datum ein. Die freien Flächen sind absichtlich vorgesehen, um Nachweise zu dokumentieren.</w:t>
      </w:r>
    </w:p>
    <w:p>
      <w:r>
        <w:br w:type="page"/>
      </w:r>
    </w:p>
    <w:p>
      <w:pPr>
        <w:pStyle w:val="Heading1"/>
      </w:pPr>
      <w:r>
        <w:t>Die drei Vokabulare im Überblick</w:t>
      </w:r>
    </w:p>
    <w:p>
      <w:pPr>
        <w:keepLines w:val="0"/>
      </w:pPr>
      <w:r>
        <w:rPr>
          <w:rFonts w:ascii="DejaVu Sans" w:hAnsi="DejaVu Sans" w:eastAsia="DejaVu Sans"/>
          <w:color w:val="1E2528"/>
          <w:sz w:val="15"/>
        </w:rPr>
        <w:t>Die drei Listen beantworten unterschiedliche Fragen. Der Modus beschreibt die vom System ausgeübte Befugnis; die Einstufung der Nachweislage ordnet jede Frage des Tests ein; die organisatorische Entscheidung legt fest, was insgesamt genehmigt wird. Sie werden nicht addiert und lassen sich nicht automatisch ineinander überführen.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738"/>
        <w:gridCol w:w="5214"/>
        <w:gridCol w:w="3272"/>
      </w:tblGrid>
      <w:tr>
        <w:trPr>
          <w:tblHeader w:val="true"/>
          <w:cantSplit/>
        </w:trPr>
        <w:tc>
          <w:tcPr>
            <w:tcW w:type="dxa" w:w="173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Ebene</w:t>
            </w:r>
          </w:p>
        </w:tc>
        <w:tc>
          <w:tcPr>
            <w:tcW w:type="dxa" w:w="521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Vokabular und Bedeutung</w:t>
            </w:r>
          </w:p>
        </w:tc>
        <w:tc>
          <w:tcPr>
            <w:tcW w:type="dxa" w:w="3272"/>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Anwendungsregel</w:t>
            </w:r>
          </w:p>
        </w:tc>
      </w:tr>
      <w:tr>
        <w:trPr>
          <w:cantSplit/>
        </w:trPr>
        <w:tc>
          <w:tcPr>
            <w:tcW w:type="dxa" w:w="173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Modus des Systems</w:t>
            </w:r>
          </w:p>
        </w:tc>
        <w:tc>
          <w:tcPr>
            <w:tcW w:type="dxa" w:w="52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Unterstützt - bereitet Elemente vor, ordnet sie oder macht sie sichtbar, ohne das Ergebnis auszuwählen. Schlägt vor - empfiehlt eine Option, die eine fachkundige Person ändern oder ablehnen kann. Entscheidet - wählt innerhalb des Mandats ein Ergebnis aus. Führt aus - wirkt auf einen Dienst, die Welt oder Rechte ein.</w:t>
            </w:r>
          </w:p>
        </w:tc>
        <w:tc>
          <w:tcPr>
            <w:tcW w:type="dxa" w:w="3272"/>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Beschreibt die in einer Aufgabe und einer Phase ausgeübte Befugnis. Der Modus kann sich innerhalb desselben Systems ändern.</w:t>
            </w:r>
          </w:p>
        </w:tc>
      </w:tr>
      <w:tr>
        <w:trPr>
          <w:cantSplit/>
        </w:trPr>
        <w:tc>
          <w:tcPr>
            <w:tcW w:type="dxa" w:w="173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Einstufung der Nachweislage</w:t>
            </w:r>
          </w:p>
        </w:tc>
        <w:tc>
          <w:tcPr>
            <w:tcW w:type="dxa" w:w="52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Ausreichend - ermöglicht eine Entscheidung innerhalb der schriftlich festgelegten Grenzen von Version, Datum und Geltungsbereich. Ungeklärt - verlangt einen Nachweis, eine verantwortliche Person und eine Frist. Blockierend - verhindert die Delegation oder zwingt dazu, die Nutzung einzuschränken oder zu stoppen, solange sich die Bedingung nicht ändert.</w:t>
            </w:r>
          </w:p>
        </w:tc>
        <w:tc>
          <w:tcPr>
            <w:tcW w:type="dxa" w:w="3272"/>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Ordnet jede Frage des Tests ein. Die Einstufung ist kein positives Urteil über das Produkt und ergibt keinen Durchschnitt.</w:t>
            </w:r>
          </w:p>
        </w:tc>
      </w:tr>
      <w:tr>
        <w:trPr>
          <w:cantSplit/>
        </w:trPr>
        <w:tc>
          <w:tcPr>
            <w:tcW w:type="dxa" w:w="173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Organisatorische Entscheidung</w:t>
            </w:r>
          </w:p>
        </w:tc>
        <w:tc>
          <w:tcPr>
            <w:tcW w:type="dxa" w:w="52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Fortfahren - den schriftlich festgehaltenen Geltungsbereich genehmigen. Begrenzen und erproben - eine abgegrenzte, reversible und stoppbare Erprobung genehmigen. Nicht delegieren - diese Befugnis im aktuellen Kontext nicht übertragen; Alternative, Kosten und erneute Prüfung dokumentieren. Stoppen - eine bereits aktive Genehmigung beenden.</w:t>
            </w:r>
          </w:p>
        </w:tc>
        <w:tc>
          <w:tcPr>
            <w:tcW w:type="dxa" w:w="3272"/>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Hält die Gesamtentscheidung fest. Sie ergibt sich weder automatisch aus dem Modus noch aus der Zahl der mit Ausreichend eingestuften Fragen.</w:t>
            </w:r>
          </w:p>
        </w:tc>
      </w:tr>
    </w:tbl>
    <w:p>
      <w:pPr>
        <w:spacing w:after="0"/>
      </w:pPr>
    </w:p>
    <w:p>
      <w:pPr>
        <w:pStyle w:val="Heading1"/>
      </w:pPr>
      <w:r>
        <w:t>Vom Test zur Entscheidung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54"/>
        <w:gridCol w:w="7770"/>
      </w:tblGrid>
      <w:tr>
        <w:trPr>
          <w:tblHeader w:val="true"/>
          <w:cantSplit/>
        </w:trPr>
        <w:tc>
          <w:tcPr>
            <w:tcW w:type="dxa" w:w="245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Schritt</w:t>
            </w:r>
          </w:p>
        </w:tc>
        <w:tc>
          <w:tcPr>
            <w:tcW w:type="dxa" w:w="777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Was beobachtbar bleiben muss</w:t>
            </w:r>
          </w:p>
        </w:tc>
      </w:tr>
      <w:tr>
        <w:trPr>
          <w:cantSplit/>
        </w:trPr>
        <w:tc>
          <w:tcPr>
            <w:tcW w:type="dxa" w:w="2454"/>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1. Test</w:t>
            </w:r>
          </w:p>
        </w:tc>
        <w:tc>
          <w:tcPr>
            <w:tcW w:type="dxa" w:w="777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Zweck, Mandat, Nachweis, Verteilung, Schaden, Rechtsschutz und Ausstieg; Nachweise und nicht kompensierbare Bedingungen.</w:t>
            </w:r>
          </w:p>
        </w:tc>
      </w:tr>
      <w:tr>
        <w:trPr>
          <w:cantSplit/>
        </w:trPr>
        <w:tc>
          <w:tcPr>
            <w:tcW w:type="dxa" w:w="2454"/>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2. Mandat</w:t>
            </w:r>
          </w:p>
        </w:tc>
        <w:tc>
          <w:tcPr>
            <w:tcW w:type="dxa" w:w="777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Aufgaben, Modi, Daten, Personen, Orte, Dauer, Volumen, Register, Verbote, Schwellenwerte und Befugnis zum Stoppen.</w:t>
            </w:r>
          </w:p>
        </w:tc>
      </w:tr>
      <w:tr>
        <w:trPr>
          <w:cantSplit/>
        </w:trPr>
        <w:tc>
          <w:tcPr>
            <w:tcW w:type="dxa" w:w="2454"/>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3. Überwachung des Lebenszyklus</w:t>
            </w:r>
          </w:p>
        </w:tc>
        <w:tc>
          <w:tcPr>
            <w:tcW w:type="dxa" w:w="777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Version, Nutzen, Ausnahmen, Aufsichtsaufwand, Störfälle, Rechtsschutz, verbleibende Kompetenz und Ausstiegstest.</w:t>
            </w:r>
          </w:p>
        </w:tc>
      </w:tr>
      <w:tr>
        <w:trPr>
          <w:cantSplit/>
        </w:trPr>
        <w:tc>
          <w:tcPr>
            <w:tcW w:type="dxa" w:w="2454"/>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4. Begrenzen, aussteigen oder stoppen</w:t>
            </w:r>
          </w:p>
        </w:tc>
        <w:tc>
          <w:tcPr>
            <w:tcW w:type="dxa" w:w="777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Das Mandat eingrenzen, in den eingeschränkten Betriebsmodus wechseln, das System ersetzen oder stoppen, wenn die Bedingungen nicht mehr erfüllt sind.</w:t>
            </w:r>
          </w:p>
        </w:tc>
      </w:tr>
    </w:tbl>
    <w:p>
      <w:pPr>
        <w:spacing w:after="0"/>
      </w:pP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MERKSATZ  </w:t>
            </w:r>
            <w:r>
              <w:rPr>
                <w:rFonts w:ascii="DejaVu Sans" w:hAnsi="DejaVu Sans" w:eastAsia="DejaVu Sans"/>
                <w:color w:val="1E2528"/>
                <w:sz w:val="18"/>
              </w:rPr>
              <w:t>Unterstützt ist nicht gleichbedeutend mit Fortfahren; Ausreichend ist kein positives Urteil. Ändern sich Modell, Daten, Anbieter, Nutzungsumfang oder verantwortliche Personen, muss der Test erneut durchgeführt werden.</w:t>
            </w:r>
          </w:p>
        </w:tc>
      </w:tr>
    </w:tbl>
    <w:p>
      <w:pPr>
        <w:spacing w:after="0"/>
      </w:pPr>
    </w:p>
    <w:p>
      <w:r>
        <w:br w:type="page"/>
      </w:r>
    </w:p>
    <w:p>
      <w:pPr>
        <w:pStyle w:val="Heading1"/>
      </w:pPr>
      <w:r>
        <w:t>Ausfüllbarer Prüfbogen des 2050-Tests</w:t>
      </w:r>
    </w:p>
    <w:p>
      <w:pPr>
        <w:keepLines w:val="0"/>
      </w:pPr>
      <w:r>
        <w:rPr>
          <w:rFonts w:ascii="DejaVu Sans" w:hAnsi="DejaVu Sans" w:eastAsia="DejaVu Sans"/>
          <w:color w:val="1E2528"/>
          <w:sz w:val="15"/>
        </w:rPr>
        <w:t>Sechs Seiten: Identifikation; sieben Fragen; Überwachung; Entscheidung und erneute Prüfung. Tragen Sie datierte Tatsachen ein. Ausreichend gilt nur im schriftlich festgelegten Geltungsbereich; Ungeklärt verlangt einen Nachweis und eine Frist; Blockierend begrenzt oder stoppt die Genehmigung. Vorteile gleichen fehlenden Rechtsschutz, fehlenden Ausstieg oder fehlende Befugnis zum Stoppen nicht aus.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601"/>
        <w:gridCol w:w="5623"/>
      </w:tblGrid>
      <w:tr>
        <w:trPr>
          <w:tblHeader w:val="true"/>
          <w:cantSplit/>
        </w:trPr>
        <w:tc>
          <w:tcPr>
            <w:tcW w:type="dxa" w:w="460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Seite 1 - Mindestangaben</w:t>
            </w:r>
          </w:p>
        </w:tc>
        <w:tc>
          <w:tcPr>
            <w:tcW w:type="dxa" w:w="562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Dokumentation</w:t>
            </w:r>
          </w:p>
        </w:tc>
      </w:tr>
      <w:tr>
        <w:trPr>
          <w:cantSplit/>
          <w:trHeight w:val="61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Problem, Begünstigte und Erfolgskriterium</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Betroffene Entscheidung oder Dienstleistung</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System, Version, Anbieter und wesentliche Abhängigkeiten</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Erforderliche und verbotene Daten</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Betroffene Personen und am wenigsten geschützte Gruppen</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Nicht hinnehmbarer Schaden und Zeit bis zu seinem Eintritt</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Überprüfte Nachvollziehbarkeit und verwendeter Grenzfall</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Befugnis zum Aussetzen und eingeschränkter Betriebsmodus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Bearbeitende Person, Funktion und Entscheidungsverantwortung</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Datum, Grund der erneuten Prüfung und vorgesehenes Enddatum</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Zweck und Mandat</w:t>
      </w:r>
    </w:p>
    <w:p>
      <w:pPr>
        <w:pStyle w:val="Heading2"/>
      </w:pPr>
      <w:r>
        <w:t>1. Zweck</w:t>
      </w:r>
    </w:p>
    <w:p>
      <w:pPr>
        <w:keepLines w:val="0"/>
      </w:pPr>
      <w:r>
        <w:rPr>
          <w:rFonts w:ascii="DejaVu Sans" w:hAnsi="DejaVu Sans" w:eastAsia="DejaVu Sans"/>
          <w:color w:val="1E2528"/>
          <w:sz w:val="15"/>
        </w:rPr>
        <w:t>Welches beobachtbare Problem wird für wen angegangen, und woran wird eine Verbesserung gemessen? Welche weniger invasive Alternative wurde mit welchen Kosten verglichen, die entstehen, wenn nicht eingegriffen wird?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2. Mandat</w:t>
      </w:r>
    </w:p>
    <w:p>
      <w:pPr>
        <w:keepLines w:val="0"/>
      </w:pPr>
      <w:r>
        <w:rPr>
          <w:rFonts w:ascii="DejaVu Sans" w:hAnsi="DejaVu Sans" w:eastAsia="DejaVu Sans"/>
          <w:color w:val="1E2528"/>
          <w:sz w:val="15"/>
        </w:rPr>
        <w:t>In welchem Modus arbeitet das System bei der jeweiligen Aufgabe: Unterstützt, Schlägt vor, Entscheidet oder Führt aus? Welche Daten, Personen und Orte sowie welche Dauer und welches Volumen begrenzen seine Befugnis; welche Handlungen sind verboten, und wer darf es stoppen?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Nachweis und Verteilung</w:t>
      </w:r>
    </w:p>
    <w:p>
      <w:pPr>
        <w:pStyle w:val="Heading2"/>
      </w:pPr>
      <w:r>
        <w:t>3. Nachweis</w:t>
      </w:r>
    </w:p>
    <w:p>
      <w:pPr>
        <w:keepLines w:val="0"/>
      </w:pPr>
      <w:r>
        <w:rPr>
          <w:rFonts w:ascii="DejaVu Sans" w:hAnsi="DejaVu Sans" w:eastAsia="DejaVu Sans"/>
          <w:color w:val="1E2528"/>
          <w:sz w:val="15"/>
        </w:rPr>
        <w:t>Welche Quellen, Daten, im jeweiligen Kontext gemessenen Leistungswerte, Grenzen und Versagensfälle stützen die Entscheidung? Wurde die Nachvollziehbarkeit in der verfügbaren Zeit an einem Regelfall und einem Grenzfall überprüft?</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4. Verteilung</w:t>
      </w:r>
    </w:p>
    <w:p>
      <w:pPr>
        <w:keepLines w:val="0"/>
      </w:pPr>
      <w:r>
        <w:rPr>
          <w:rFonts w:ascii="DejaVu Sans" w:hAnsi="DejaVu Sans" w:eastAsia="DejaVu Sans"/>
          <w:color w:val="1E2528"/>
          <w:sz w:val="15"/>
        </w:rPr>
        <w:t>Wer erhält Vorteile, Zeit oder Macht, und wer trägt Arbeitsaufwand, Risiko, materielle Kosten, Schulungsaufwand oder die Hürden einer Anfechtung? Wer trägt die Kosten während der Korrektur und wenn die Delegation gar nicht erst zustande kommt?</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Schaden und Rechtsschutz</w:t>
      </w:r>
    </w:p>
    <w:p>
      <w:pPr>
        <w:pStyle w:val="Heading2"/>
      </w:pPr>
      <w:r>
        <w:t>5. Schaden</w:t>
      </w:r>
    </w:p>
    <w:p>
      <w:pPr>
        <w:keepLines w:val="0"/>
      </w:pPr>
      <w:r>
        <w:rPr>
          <w:rFonts w:ascii="DejaVu Sans" w:hAnsi="DejaVu Sans" w:eastAsia="DejaVu Sans"/>
          <w:color w:val="1E2528"/>
          <w:sz w:val="15"/>
        </w:rPr>
        <w:t>Welches plausible Versagen kann eintreten, wie schwerwiegend wären seine Folgen, inwieweit ließen sie sich rückgängig machen und wie viel Zeit vergeht, bevor eine Korrektur schwierig wird? Welche Schwelle ist nicht hinnehmbar, und welche Abhilfe bleibt möglich?</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6. Rechtsschutz</w:t>
      </w:r>
    </w:p>
    <w:p>
      <w:pPr>
        <w:keepLines w:val="0"/>
      </w:pPr>
      <w:r>
        <w:rPr>
          <w:rFonts w:ascii="DejaVu Sans" w:hAnsi="DejaVu Sans" w:eastAsia="DejaVu Sans"/>
          <w:color w:val="1E2528"/>
          <w:sz w:val="15"/>
        </w:rPr>
        <w:t>Erhält die vom Ergebnis betroffene Person eine verständliche Mitteilung, kann sie auf berichtigungsfähige Informationen zugreifen und rechtzeitig eine fachkundige Person erreichen, die den Fall prüft und befugt ist, die Wirkung auszusetzen, das Ergebnis zu ändern und eine begründete Entscheidung mitzuteilen?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r>
        <w:br w:type="page"/>
      </w:r>
    </w:p>
    <w:p>
      <w:pPr>
        <w:pStyle w:val="Heading1"/>
      </w:pPr>
      <w:r>
        <w:t>Die sieben Fragen - Ausstieg und Überwachung</w:t>
      </w:r>
    </w:p>
    <w:p>
      <w:pPr>
        <w:pStyle w:val="Heading2"/>
      </w:pPr>
      <w:r>
        <w:t>7. Ausstieg</w:t>
      </w:r>
    </w:p>
    <w:p>
      <w:pPr>
        <w:keepLines w:val="0"/>
      </w:pPr>
      <w:r>
        <w:rPr>
          <w:rFonts w:ascii="DejaVu Sans" w:hAnsi="DejaVu Sans" w:eastAsia="DejaVu Sans"/>
          <w:color w:val="1E2528"/>
          <w:sz w:val="15"/>
        </w:rPr>
        <w:t>Kann das System so gestoppt oder ersetzt werden, dass Daten, Rechte und wesentliche Dienste erhalten bleiben? Sind Konfigurationen, Berechtigungen und Register wiederverwendbar; wurde der eingeschränkte Betriebsmodus erprobt; wann fand der letzte praktische Ausstiegstest statt, und wer trägt die Kosten dafür?</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Tatsachen, Dokumente, Version und Datum der Nachweise:</w:t>
            </w:r>
          </w:p>
        </w:tc>
      </w:tr>
      <w:tr>
        <w:trPr>
          <w:cantSplit/>
          <w:trHeight w:val="1150" w:hRule="atLeast"/>
        </w:trPr>
        <w:tc>
          <w:tcPr>
            <w:tcW w:type="dxa" w:w="10224"/>
            <w:vAlign w:val="center"/>
            <w:tcMar>
              <w:top w:w="65" w:type="dxa"/>
              <w:start w:w="120" w:type="dxa"/>
              <w:bottom w:w="65" w:type="dxa"/>
              <w:end w:w="120" w:type="dxa"/>
            </w:tcMar>
          </w:tcPr>
          <w:p>
            <w:pPr>
              <w:spacing w:after="640" w:line="240" w:lineRule="auto"/>
            </w:pPr>
            <w:r>
              <w:rPr>
                <w:rFonts w:ascii="DejaVu Sans" w:hAnsi="DejaVu Sans" w:eastAsia="DejaVu Sans"/>
                <w:b w:val="0"/>
                <w:color w:val="1E2528"/>
                <w:sz w:val="13"/>
              </w:rPr>
            </w:r>
          </w:p>
        </w:tc>
      </w:tr>
    </w:tbl>
    <w:p>
      <w:pPr>
        <w:spacing w:after="0"/>
      </w:pPr>
    </w:p>
    <w:p>
      <w:pPr>
        <w:spacing w:after="40"/>
      </w:pPr>
      <w:r>
        <w:rPr>
          <w:rFonts w:ascii="DejaVu Sans" w:hAnsi="DejaVu Sans" w:eastAsia="DejaVu Sans"/>
          <w:b/>
          <w:color w:val="123044"/>
          <w:sz w:val="14"/>
        </w:rPr>
        <w:t>Einstufung der Nachweislage:  [ ] Ausreichend   [ ] Ungeklärt   [ ] Blockierend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Begründung, Grenze des Geltungsbereichs und bei fehlendem Nachweis: verantwortliche Person, Frist und Folge (einschließlich eines erforderlichen Stopps):</w:t>
            </w:r>
          </w:p>
        </w:tc>
      </w:tr>
      <w:tr>
        <w:trPr>
          <w:cantSplit/>
          <w:trHeight w:val="720" w:hRule="atLeast"/>
        </w:trPr>
        <w:tc>
          <w:tcPr>
            <w:tcW w:type="dxa" w:w="10224"/>
            <w:vAlign w:val="center"/>
            <w:tcMar>
              <w:top w:w="65" w:type="dxa"/>
              <w:start w:w="120" w:type="dxa"/>
              <w:bottom w:w="65" w:type="dxa"/>
              <w:end w:w="120" w:type="dxa"/>
            </w:tcMar>
          </w:tcPr>
          <w:p>
            <w:pPr>
              <w:spacing w:after="440" w:line="240" w:lineRule="auto"/>
            </w:pPr>
            <w:r>
              <w:rPr>
                <w:rFonts w:ascii="DejaVu Sans" w:hAnsi="DejaVu Sans" w:eastAsia="DejaVu Sans"/>
                <w:b w:val="0"/>
                <w:color w:val="1E2528"/>
                <w:sz w:val="13"/>
              </w:rPr>
            </w:r>
          </w:p>
        </w:tc>
      </w:tr>
    </w:tbl>
    <w:p>
      <w:pPr>
        <w:spacing w:after="0"/>
      </w:pPr>
    </w:p>
    <w:p>
      <w:pPr>
        <w:pStyle w:val="Heading2"/>
      </w:pPr>
      <w:r>
        <w:t>Übergang zur Überwachung des Lebenszyklus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396"/>
        <w:gridCol w:w="5828"/>
      </w:tblGrid>
      <w:tr>
        <w:trPr>
          <w:tblHeader w:val="true"/>
          <w:cantSplit/>
        </w:trPr>
        <w:tc>
          <w:tcPr>
            <w:tcW w:type="dxa" w:w="439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Überwachungsfeld</w:t>
            </w:r>
          </w:p>
        </w:tc>
        <w:tc>
          <w:tcPr>
            <w:tcW w:type="dxa" w:w="582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Aktualisierung</w:t>
            </w:r>
          </w:p>
        </w:tc>
      </w:tr>
      <w:tr>
        <w:trPr>
          <w:cantSplit/>
          <w:trHeight w:val="440" w:hRule="atLeast"/>
        </w:trPr>
        <w:tc>
          <w:tcPr>
            <w:tcW w:type="dxa" w:w="439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Geltendes Mandat, Modus und Version</w:t>
            </w:r>
          </w:p>
        </w:tc>
        <w:tc>
          <w:tcPr>
            <w:tcW w:type="dxa" w:w="582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440" w:hRule="atLeast"/>
        </w:trPr>
        <w:tc>
          <w:tcPr>
            <w:tcW w:type="dxa" w:w="439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Beobachteter Nutzen und Schaden im Vergleich zum Prüfbogen</w:t>
            </w:r>
          </w:p>
        </w:tc>
        <w:tc>
          <w:tcPr>
            <w:tcW w:type="dxa" w:w="582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440" w:hRule="atLeast"/>
        </w:trPr>
        <w:tc>
          <w:tcPr>
            <w:tcW w:type="dxa" w:w="439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Ausnahmen, Störfälle, Rechtsschutzanträge und Korrekturen</w:t>
            </w:r>
          </w:p>
        </w:tc>
        <w:tc>
          <w:tcPr>
            <w:tcW w:type="dxa" w:w="582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440" w:hRule="atLeast"/>
        </w:trPr>
        <w:tc>
          <w:tcPr>
            <w:tcW w:type="dxa" w:w="439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Aufsichtsaufwand, Schulung und verbleibende Kompetenz</w:t>
            </w:r>
          </w:p>
        </w:tc>
        <w:tc>
          <w:tcPr>
            <w:tcW w:type="dxa" w:w="582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440" w:hRule="atLeast"/>
        </w:trPr>
        <w:tc>
          <w:tcPr>
            <w:tcW w:type="dxa" w:w="439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Letzter Ausstiegstest: Datum, Ergebnis und verlagerte Kosten</w:t>
            </w:r>
          </w:p>
        </w:tc>
        <w:tc>
          <w:tcPr>
            <w:tcW w:type="dxa" w:w="582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r>
        <w:trPr>
          <w:cantSplit/>
          <w:trHeight w:val="440" w:hRule="atLeast"/>
        </w:trPr>
        <w:tc>
          <w:tcPr>
            <w:tcW w:type="dxa" w:w="439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Schwelle für Begrenzung oder Stoppen erreicht</w:t>
            </w:r>
          </w:p>
        </w:tc>
        <w:tc>
          <w:tcPr>
            <w:tcW w:type="dxa" w:w="582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r>
          </w:p>
        </w:tc>
      </w:tr>
      <w:tr>
        <w:trPr>
          <w:cantSplit/>
          <w:trHeight w:val="440" w:hRule="atLeast"/>
        </w:trPr>
        <w:tc>
          <w:tcPr>
            <w:tcW w:type="dxa" w:w="439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Verantwortliche Person und nächste Prüfung</w:t>
            </w:r>
          </w:p>
        </w:tc>
        <w:tc>
          <w:tcPr>
            <w:tcW w:type="dxa" w:w="582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r>
          </w:p>
        </w:tc>
      </w:tr>
    </w:tbl>
    <w:p>
      <w:pPr>
        <w:spacing w:after="0"/>
      </w:pPr>
    </w:p>
    <w:p>
      <w:r>
        <w:br w:type="page"/>
      </w:r>
    </w:p>
    <w:p>
      <w:pPr>
        <w:pStyle w:val="Heading1"/>
      </w:pPr>
      <w:r>
        <w:t>Entscheidung und Bedingungen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681"/>
        <w:gridCol w:w="6543"/>
      </w:tblGrid>
      <w:tr>
        <w:trPr>
          <w:tblHeader w:val="true"/>
          <w:cantSplit/>
        </w:trPr>
        <w:tc>
          <w:tcPr>
            <w:tcW w:type="dxa" w:w="368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Feld</w:t>
            </w:r>
          </w:p>
        </w:tc>
        <w:tc>
          <w:tcPr>
            <w:tcW w:type="dxa" w:w="654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3"/>
              </w:rPr>
              <w:t>Entscheidung und Bedingungen</w:t>
            </w:r>
          </w:p>
        </w:tc>
      </w:tr>
      <w:tr>
        <w:trPr>
          <w:cantSplit/>
          <w:trHeight w:val="520" w:hRule="atLeast"/>
        </w:trPr>
        <w:tc>
          <w:tcPr>
            <w:tcW w:type="dxa" w:w="3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Organisatorische Entscheidung</w:t>
            </w:r>
          </w:p>
        </w:tc>
        <w:tc>
          <w:tcPr>
            <w:tcW w:type="dxa" w:w="654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 ] Fortfahren [ ] Begrenzen und erproben [ ] Nicht delegieren [ ] Stoppen</w:t>
            </w:r>
          </w:p>
        </w:tc>
      </w:tr>
      <w:tr>
        <w:trPr>
          <w:cantSplit/>
          <w:trHeight w:val="520" w:hRule="atLeast"/>
        </w:trPr>
        <w:tc>
          <w:tcPr>
            <w:tcW w:type="dxa" w:w="368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Begründung</w:t>
            </w:r>
          </w:p>
        </w:tc>
        <w:tc>
          <w:tcPr>
            <w:tcW w:type="dxa" w:w="654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Entscheidender Nachweis, blockierende Bedingungen, Kosten der Einführung und Kosten der Nichteinführung.</w:t>
            </w:r>
          </w:p>
        </w:tc>
      </w:tr>
      <w:tr>
        <w:trPr>
          <w:cantSplit/>
          <w:trHeight w:val="520" w:hRule="atLeast"/>
        </w:trPr>
        <w:tc>
          <w:tcPr>
            <w:tcW w:type="dxa" w:w="3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Genehmigter Geltungsbereich</w:t>
            </w:r>
          </w:p>
        </w:tc>
        <w:tc>
          <w:tcPr>
            <w:tcW w:type="dxa" w:w="654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Aufgaben, Modi, Daten, Personen, Orte, Dauer und Volumen.</w:t>
            </w:r>
          </w:p>
        </w:tc>
      </w:tr>
      <w:tr>
        <w:trPr>
          <w:cantSplit/>
          <w:trHeight w:val="520" w:hRule="atLeast"/>
        </w:trPr>
        <w:tc>
          <w:tcPr>
            <w:tcW w:type="dxa" w:w="368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Verbotene oder vorbehaltene Handlungen</w:t>
            </w:r>
          </w:p>
        </w:tc>
        <w:tc>
          <w:tcPr>
            <w:tcW w:type="dxa" w:w="654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Was weiterhin einem Menschen anvertraut oder außerhalb des Systems gehalten wird.</w:t>
            </w:r>
          </w:p>
        </w:tc>
      </w:tr>
      <w:tr>
        <w:trPr>
          <w:cantSplit/>
          <w:trHeight w:val="520" w:hRule="atLeast"/>
        </w:trPr>
        <w:tc>
          <w:tcPr>
            <w:tcW w:type="dxa" w:w="3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Bedingungen vor dem Start</w:t>
            </w:r>
          </w:p>
        </w:tc>
        <w:tc>
          <w:tcPr>
            <w:tcW w:type="dxa" w:w="654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Fehlender Nachweis, verantwortliche Person, Frist und Folge bei Nichterfüllung.</w:t>
            </w:r>
          </w:p>
        </w:tc>
      </w:tr>
      <w:tr>
        <w:trPr>
          <w:cantSplit/>
          <w:trHeight w:val="520" w:hRule="atLeast"/>
        </w:trPr>
        <w:tc>
          <w:tcPr>
            <w:tcW w:type="dxa" w:w="368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Überwachung</w:t>
            </w:r>
          </w:p>
        </w:tc>
        <w:tc>
          <w:tcPr>
            <w:tcW w:type="dxa" w:w="654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Indikatoren, Version, Ausnahmen, Aufsichtsaufwand und Schwellenwerte.</w:t>
            </w:r>
          </w:p>
        </w:tc>
      </w:tr>
      <w:tr>
        <w:trPr>
          <w:cantSplit/>
          <w:trHeight w:val="520" w:hRule="atLeast"/>
        </w:trPr>
        <w:tc>
          <w:tcPr>
            <w:tcW w:type="dxa" w:w="3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Eingeschränkter Betrieb und Stoppen</w:t>
            </w:r>
          </w:p>
        </w:tc>
        <w:tc>
          <w:tcPr>
            <w:tcW w:type="dxa" w:w="654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Aufrechterhaltener Dienst, Signal, befugte Person und Höchstdauer.</w:t>
            </w:r>
          </w:p>
        </w:tc>
      </w:tr>
      <w:tr>
        <w:trPr>
          <w:cantSplit/>
          <w:trHeight w:val="520" w:hRule="atLeast"/>
        </w:trPr>
        <w:tc>
          <w:tcPr>
            <w:tcW w:type="dxa" w:w="368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Rechtsschutz und Korrektur</w:t>
            </w:r>
          </w:p>
        </w:tc>
        <w:tc>
          <w:tcPr>
            <w:tcW w:type="dxa" w:w="654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Kanal, Entscheidungsverantwortung, Frist, mögliche Änderung und Weitergabe der Korrektur.</w:t>
            </w:r>
          </w:p>
        </w:tc>
      </w:tr>
      <w:tr>
        <w:trPr>
          <w:cantSplit/>
          <w:trHeight w:val="520" w:hRule="atLeast"/>
        </w:trPr>
        <w:tc>
          <w:tcPr>
            <w:tcW w:type="dxa" w:w="3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Aufrechterhaltene Alternative und Kosten des Neins</w:t>
            </w:r>
          </w:p>
        </w:tc>
        <w:tc>
          <w:tcPr>
            <w:tcW w:type="dxa" w:w="654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Arbeit, Dienst oder Verfahren, das verfügbar bleibt, wenn die Delegation nicht beginnt oder gestoppt wird.</w:t>
            </w:r>
          </w:p>
        </w:tc>
      </w:tr>
      <w:tr>
        <w:trPr>
          <w:cantSplit/>
          <w:trHeight w:val="520" w:hRule="atLeast"/>
        </w:trPr>
        <w:tc>
          <w:tcPr>
            <w:tcW w:type="dxa" w:w="368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3"/>
              </w:rPr>
              <w:t>Erneute Prüfung</w:t>
            </w:r>
          </w:p>
        </w:tc>
        <w:tc>
          <w:tcPr>
            <w:tcW w:type="dxa" w:w="654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3"/>
              </w:rPr>
              <w:t>Datum oder Ereignis für eine vorgezogene Prüfung; von der vorherigen Version ausgehen und Nachweise, Schwellenwert und Änderungen sichtbar machen.</w:t>
            </w:r>
          </w:p>
        </w:tc>
      </w:tr>
      <w:tr>
        <w:trPr>
          <w:cantSplit/>
          <w:trHeight w:val="520" w:hRule="atLeast"/>
        </w:trPr>
        <w:tc>
          <w:tcPr>
            <w:tcW w:type="dxa" w:w="368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3"/>
              </w:rPr>
              <w:t>Verantwortung</w:t>
            </w:r>
          </w:p>
        </w:tc>
        <w:tc>
          <w:tcPr>
            <w:tcW w:type="dxa" w:w="654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3"/>
              </w:rPr>
              <w:t>Name, Funktion, dokumentierter Dissens, Unterschrift und Datum.</w:t>
            </w:r>
          </w:p>
        </w:tc>
      </w:tr>
    </w:tbl>
    <w:p>
      <w:pPr>
        <w:spacing w:after="0"/>
      </w:pPr>
    </w:p>
    <w:sectPr w:rsidR="00FC693F" w:rsidRPr="0006063C" w:rsidSect="00034616">
      <w:headerReference w:type="default" r:id="rId9"/>
      <w:footerReference w:type="default" r:id="rId10"/>
      <w:footerReference w:type="first" r:id="rId11"/>
      <w:headerReference w:type="first" r:id="rId13"/>
      <w:headerReference w:type="even" r:id="rId14"/>
      <w:footerReference w:type="even" r:id="rId15"/>
      <w:pgSz w:w="12240" w:h="15840"/>
      <w:pgMar w:top="893" w:right="1008" w:bottom="893"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Arbeitsheft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Arbeitsheft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52" w:lineRule="auto"/>
    </w:pPr>
    <w:rPr>
      <w:rFonts w:ascii="DejaVu Sans" w:hAnsi="DejaVu Sans"/>
      <w:color w:val="1E2528"/>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8" w:after="104"/>
      <w:outlineLvl w:val="0"/>
    </w:pPr>
    <w:rPr>
      <w:rFonts w:asciiTheme="majorHAnsi" w:eastAsiaTheme="majorEastAsia" w:hAnsiTheme="majorHAnsi" w:cstheme="majorBidi" w:ascii="DejaVu Sans" w:hAnsi="DejaVu Sans"/>
      <w:b/>
      <w:bCs/>
      <w:color w:val="123044"/>
      <w:sz w:val="30"/>
      <w:szCs w:val="28"/>
    </w:rPr>
  </w:style>
  <w:style w:type="paragraph" w:styleId="Heading2">
    <w:name w:val="heading 2"/>
    <w:basedOn w:val="Normal"/>
    <w:next w:val="Normal"/>
    <w:link w:val="Heading2Char"/>
    <w:uiPriority w:val="9"/>
    <w:unhideWhenUsed/>
    <w:qFormat/>
    <w:rsid w:val="00FC693F"/>
    <w:pPr>
      <w:keepNext/>
      <w:keepLines/>
      <w:spacing w:before="156" w:after="78"/>
      <w:outlineLvl w:val="1"/>
    </w:pPr>
    <w:rPr>
      <w:rFonts w:asciiTheme="majorHAnsi" w:eastAsiaTheme="majorEastAsia" w:hAnsiTheme="majorHAnsi" w:cstheme="majorBidi" w:ascii="DejaVu Sans" w:hAnsi="DejaVu Sans"/>
      <w:b/>
      <w:bCs/>
      <w:color w:val="B54B2A"/>
      <w:sz w:val="21"/>
      <w:szCs w:val="26"/>
    </w:rPr>
  </w:style>
  <w:style w:type="paragraph" w:styleId="Heading3">
    <w:name w:val="heading 3"/>
    <w:basedOn w:val="Normal"/>
    <w:next w:val="Normal"/>
    <w:link w:val="Heading3Char"/>
    <w:uiPriority w:val="9"/>
    <w:unhideWhenUsed/>
    <w:qFormat/>
    <w:rsid w:val="00FC693F"/>
    <w:pPr>
      <w:keepNext/>
      <w:keepLines/>
      <w:spacing w:before="117" w:after="52"/>
      <w:outlineLvl w:val="2"/>
    </w:pPr>
    <w:rPr>
      <w:rFonts w:asciiTheme="majorHAnsi" w:eastAsiaTheme="majorEastAsia" w:hAnsiTheme="majorHAnsi" w:cstheme="majorBidi" w:ascii="DejaVu Sans" w:hAnsi="DejaVu Sans"/>
      <w:b/>
      <w:bCs/>
      <w:color w:val="234C61"/>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4" w:line="240" w:lineRule="auto" w:before="0"/>
      <w:contextualSpacing/>
    </w:pPr>
    <w:rPr>
      <w:rFonts w:asciiTheme="majorHAnsi" w:eastAsiaTheme="majorEastAsia" w:hAnsiTheme="majorHAnsi" w:cstheme="majorBidi" w:ascii="DejaVu Sans" w:hAnsi="DejaVu Sans"/>
      <w:b/>
      <w:color w:val="12304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56"/>
    </w:pPr>
    <w:rPr>
      <w:rFonts w:asciiTheme="majorHAnsi" w:eastAsiaTheme="majorEastAsia" w:hAnsiTheme="majorHAnsi" w:cstheme="majorBidi" w:ascii="DejaVu Sans" w:hAnsi="DejaVu Sans"/>
      <w:b w:val="0"/>
      <w:i/>
      <w:iCs/>
      <w:color w:val="5D68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corneritaliano.com/de/2050/ressourcen/"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Arbeitsheft</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