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 é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OFFIZIELLE RESSOURCEN</w:t>
      </w:r>
    </w:p>
    <w:p>
      <w:pPr>
        <w:pStyle w:val="Title"/>
        <w:jc w:val="center"/>
      </w:pPr>
      <w:r>
        <w:rPr>
          <w:rFonts w:ascii="DejaVu Sans" w:hAnsi="DejaVu Sans" w:eastAsia="DejaVu Sans"/>
          <w:b/>
          <w:color w:val="123044"/>
          <w:sz w:val="56"/>
        </w:rPr>
        <w:t>Erweitertes Prüfprotokoll mit zwei Systemen</w:t>
      </w:r>
    </w:p>
    <w:p>
      <w:pPr>
        <w:pStyle w:val="Subtitle"/>
        <w:jc w:val="center"/>
      </w:pPr>
      <w:r>
        <w:rPr>
          <w:rFonts w:ascii="DejaVu Sans" w:hAnsi="DejaVu Sans" w:eastAsia="DejaVu Sans"/>
          <w:color w:val="5D6870"/>
          <w:sz w:val="25"/>
        </w:rPr>
        <w:t>Wie ein zweites System genutzt wird, ohne es zur automatischen Genehmigung zu machen</w:t>
      </w:r>
    </w:p>
    <w:p>
      <w:pPr>
        <w:spacing w:before="440"/>
        <w:jc w:val="center"/>
      </w:pPr>
      <w:r>
        <w:rPr>
          <w:rFonts w:ascii="DejaVu Sans" w:hAnsi="DejaVu Sans" w:eastAsia="DejaVu Sans"/>
          <w:b/>
          <w:color w:val="B54B2A"/>
          <w:sz w:val="17"/>
        </w:rPr>
        <w:t>ERWEITERTES ARBEITSPROTOKOLL</w:t>
      </w:r>
    </w:p>
    <w:p>
      <w:pPr>
        <w:jc w:val="center"/>
      </w:pPr>
      <w:r>
        <w:rPr>
          <w:rFonts w:ascii="DejaVu Sans" w:hAnsi="DejaVu Sans" w:eastAsia="DejaVu Sans"/>
          <w:color w:val="234C61"/>
          <w:sz w:val="19"/>
        </w:rPr>
        <w:t>Stand der deutschen Ausgabe - Juli 2026 - Format US Letter (8,5 x 11 Zoll)</w:t>
      </w:r>
    </w:p>
    <w:p>
      <w:pPr>
        <w:spacing w:before="360"/>
        <w:jc w:val="center"/>
      </w:pPr>
      <w:hyperlink r:id="rId13">
        <w:r>
          <w:rPr>
            <w:rFonts w:ascii="DejaVu Sans" w:hAnsi="DejaVu Sans" w:eastAsia="DejaVu Sans"/>
            <w:color w:val="234C61"/>
            <w:u w:val="single"/>
            <w:sz w:val="18"/>
          </w:rPr>
          <w:t>https://www.corneritaliano.com/de/2050/ressourcen/</w:t>
        </w:r>
      </w:hyperlink>
    </w:p>
    <w:p>
      <w:r>
        <w:br w:type="page"/>
      </w: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rPr>
        <w:tc>
          <w:tcPr>
            <w:tcW w:type="dxa" w:w="10224"/>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GRUNDREGEL  </w:t>
            </w:r>
            <w:r>
              <w:rPr>
                <w:rFonts w:ascii="DejaVu Sans" w:hAnsi="DejaVu Sans" w:eastAsia="DejaVu Sans"/>
                <w:color w:val="1E2528"/>
                <w:sz w:val="18"/>
              </w:rPr>
              <w:t>Ein zweites System kann nach Fehlern oder Gegenbedingungen suchen; ein anderer Name, ein anderes Modell oder ein anderer Anbieter machen es noch nicht zu einer unabhängigen Prüfung. Es liefert zusätzliche Nachweise für den Test, keinen zweiten Test und keine Möglichkeit, Stimmen zu addieren.</w:t>
            </w:r>
          </w:p>
        </w:tc>
      </w:tr>
    </w:tbl>
    <w:p>
      <w:pPr>
        <w:spacing w:after="0"/>
      </w:pPr>
    </w:p>
    <w:p>
      <w:pPr>
        <w:keepLines w:val="0"/>
      </w:pPr>
      <w:r>
        <w:rPr>
          <w:rFonts w:ascii="DejaVu Sans" w:hAnsi="DejaVu Sans" w:eastAsia="DejaVu Sans"/>
          <w:color w:val="1E2528"/>
          <w:sz w:val="18"/>
        </w:rPr>
        <w:t>Definieren Sie vor der Nutzung das legitime Ergebnis, verbotene Handlungen, betroffene Gruppen, die Zeit bis zum Schaden, eine ergebnisändernde Abweichung, die verantwortliche Person und die Bedingung zum Stoppen. Testen Sie zuerst im Schattenbetrieb mit adversen Fällen und erst danach, falls gerechtfertigt, mit begrenztem, reversiblem Volumen. Ein zweites System löst weder Wertekonflikte noch ungleichen Zugang, unzureichende Organisationskapazität oder fehlenden Rechtsschutz von selbst.</w:t>
      </w:r>
    </w:p>
    <w:p>
      <w:pPr>
        <w:pStyle w:val="Heading1"/>
      </w:pPr>
      <w:r>
        <w:t>1. Zweck und Grenzen</w:t>
      </w:r>
    </w:p>
    <w:p>
      <w:pPr>
        <w:keepLines w:val="0"/>
      </w:pPr>
      <w:r>
        <w:rPr>
          <w:rFonts w:ascii="DejaVu Sans" w:hAnsi="DejaVu Sans" w:eastAsia="DejaVu Sans"/>
          <w:color w:val="1E2528"/>
          <w:sz w:val="18"/>
        </w:rPr>
        <w:t>Das Protokoll wird eingesetzt, wenn eine Organisation ihr Hauptsystem mit einem zweiten System verbinden möchte, das Fehler, Gegenbedingungen oder Gründe für eine Wiederaufnahme sucht. Das zweite System erzeugt zusätzliche Nachweise; es ersetzt weder den 2050-Test noch fachkundiges Urteil, Rechtsschutz oder die Befugnis zum Stoppen.</w:t>
      </w:r>
    </w:p>
    <w:p>
      <w:pPr>
        <w:keepLines w:val="0"/>
      </w:pPr>
      <w:r>
        <w:rPr>
          <w:rFonts w:ascii="DejaVu Sans" w:hAnsi="DejaVu Sans" w:eastAsia="DejaVu Sans"/>
          <w:color w:val="1E2528"/>
          <w:sz w:val="18"/>
        </w:rPr>
        <w:t>Übereinstimmung zwischen den Systemen beweist nicht, dass ein Ergebnis richtig ist. Uneinigkeit erlaubt keinen automatischen Durchschnitt. Beide können von denselben Quellen, Daten, Kennzeichnungen oder Infrastrukturen abhängen und deshalb auf dieselbe Weise versagen.</w:t>
      </w:r>
    </w:p>
    <w:p>
      <w:pPr>
        <w:pStyle w:val="Heading1"/>
      </w:pPr>
      <w:r>
        <w:t>2. Funktionen und Trennung der Verantwortlichkeiten</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556"/>
        <w:gridCol w:w="7668"/>
      </w:tblGrid>
      <w:tr>
        <w:trPr>
          <w:tblHeader w:val="true"/>
          <w:cantSplit/>
        </w:trPr>
        <w:tc>
          <w:tcPr>
            <w:tcW w:type="dxa" w:w="2556"/>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Funktion</w:t>
            </w:r>
          </w:p>
        </w:tc>
        <w:tc>
          <w:tcPr>
            <w:tcW w:type="dxa" w:w="7668"/>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Mindestverantwortung</w:t>
            </w:r>
          </w:p>
        </w:tc>
      </w:tr>
      <w:tr>
        <w:trPr>
          <w:cantSplit/>
        </w:trPr>
        <w:tc>
          <w:tcPr>
            <w:tcW w:type="dxa" w:w="255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Verantwortliche Person für den Test</w:t>
            </w:r>
          </w:p>
        </w:tc>
        <w:tc>
          <w:tcPr>
            <w:tcW w:type="dxa" w:w="766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Definiert Problem, Mandat, nicht kompensierbare Schwellenwerte und organisatorische Entscheidung. Delegiert die Genehmigung nicht an die beiden Systeme.</w:t>
            </w:r>
          </w:p>
        </w:tc>
      </w:tr>
      <w:tr>
        <w:trPr>
          <w:cantSplit/>
        </w:trPr>
        <w:tc>
          <w:tcPr>
            <w:tcW w:type="dxa" w:w="255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System A</w:t>
            </w:r>
          </w:p>
        </w:tc>
        <w:tc>
          <w:tcPr>
            <w:tcW w:type="dxa" w:w="766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Führt die Aufgabe im Erprobungsbereich aus und bewahrt Eingaben, Version, Ergebnisse, Quellen und Unsicherheit auf.</w:t>
            </w:r>
          </w:p>
        </w:tc>
      </w:tr>
      <w:tr>
        <w:trPr>
          <w:cantSplit/>
        </w:trPr>
        <w:tc>
          <w:tcPr>
            <w:tcW w:type="dxa" w:w="255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System B</w:t>
            </w:r>
          </w:p>
        </w:tc>
        <w:tc>
          <w:tcPr>
            <w:tcW w:type="dxa" w:w="766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Sucht nach Fehlern, Gegenbedingungen oder Nachweisen, die das Ergebnis ändern könnten; seine Antwort wird nicht mit der von A gemittelt.</w:t>
            </w:r>
          </w:p>
        </w:tc>
      </w:tr>
      <w:tr>
        <w:trPr>
          <w:cantSplit/>
        </w:trPr>
        <w:tc>
          <w:tcPr>
            <w:tcW w:type="dxa" w:w="255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Testleitung</w:t>
            </w:r>
          </w:p>
        </w:tc>
        <w:tc>
          <w:tcPr>
            <w:tcW w:type="dxa" w:w="766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Hält Daten, Register, Konfigurationen und Zugriffe getrennt und dokumentiert gemeinsame Abhängigkeiten und Abweichungen.</w:t>
            </w:r>
          </w:p>
        </w:tc>
      </w:tr>
      <w:tr>
        <w:trPr>
          <w:cantSplit/>
        </w:trPr>
        <w:tc>
          <w:tcPr>
            <w:tcW w:type="dxa" w:w="255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Fachkundige prüfende Person</w:t>
            </w:r>
          </w:p>
        </w:tc>
        <w:tc>
          <w:tcPr>
            <w:tcW w:type="dxa" w:w="766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Rekonstruiert den strittigen Punkt innerhalb des verfügbaren Kontrollfensters und kann begrenzen, aussetzen oder stoppen.</w:t>
            </w:r>
          </w:p>
        </w:tc>
      </w:tr>
      <w:tr>
        <w:trPr>
          <w:cantSplit/>
        </w:trPr>
        <w:tc>
          <w:tcPr>
            <w:tcW w:type="dxa" w:w="255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Befugnis zum Stoppen</w:t>
            </w:r>
          </w:p>
        </w:tc>
        <w:tc>
          <w:tcPr>
            <w:tcW w:type="dxa" w:w="766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Setzt die dokumentierte Folge um, ohne auf den Anbieter oder einen informellen Konsens zu warten.</w:t>
            </w:r>
          </w:p>
        </w:tc>
      </w:tr>
    </w:tbl>
    <w:p>
      <w:pPr>
        <w:spacing w:after="0"/>
      </w:pPr>
    </w:p>
    <w:p>
      <w:pPr>
        <w:pStyle w:val="Heading1"/>
      </w:pPr>
      <w:r>
        <w:t>3. Voraussetzungen für die Prüfung</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760"/>
        <w:gridCol w:w="7464"/>
      </w:tblGrid>
      <w:tr>
        <w:trPr>
          <w:tblHeader w:val="true"/>
          <w:cantSplit/>
        </w:trPr>
        <w:tc>
          <w:tcPr>
            <w:tcW w:type="dxa" w:w="276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Vor der Aktivierung</w:t>
            </w:r>
          </w:p>
        </w:tc>
        <w:tc>
          <w:tcPr>
            <w:tcW w:type="dxa" w:w="7464"/>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Zu klärende Frage</w:t>
            </w:r>
          </w:p>
        </w:tc>
      </w:tr>
      <w:tr>
        <w:trPr>
          <w:cantSplit/>
        </w:trPr>
        <w:tc>
          <w:tcPr>
            <w:tcW w:type="dxa" w:w="276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Legitimes Ergebnis</w:t>
            </w:r>
          </w:p>
        </w:tc>
        <w:tc>
          <w:tcPr>
            <w:tcW w:type="dxa" w:w="746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Welches Ergebnis wäre vertretbar, und welche beobachtbare Verbesserung würde es rechtfertigen?</w:t>
            </w:r>
          </w:p>
        </w:tc>
      </w:tr>
      <w:tr>
        <w:trPr>
          <w:cantSplit/>
        </w:trPr>
        <w:tc>
          <w:tcPr>
            <w:tcW w:type="dxa" w:w="276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Verbotene Handlungen</w:t>
            </w:r>
          </w:p>
        </w:tc>
        <w:tc>
          <w:tcPr>
            <w:tcW w:type="dxa" w:w="746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Was darf keines der beiden Systeme entscheiden oder ausführen?</w:t>
            </w:r>
          </w:p>
        </w:tc>
      </w:tr>
      <w:tr>
        <w:trPr>
          <w:cantSplit/>
        </w:trPr>
        <w:tc>
          <w:tcPr>
            <w:tcW w:type="dxa" w:w="276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Betroffene Gruppen</w:t>
            </w:r>
          </w:p>
        </w:tc>
        <w:tc>
          <w:tcPr>
            <w:tcW w:type="dxa" w:w="746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Wer profitiert, und wer trägt Risiko, Verzögerung, Arbeit oder die Hürden einer Anfechtung?</w:t>
            </w:r>
          </w:p>
        </w:tc>
      </w:tr>
      <w:tr>
        <w:trPr>
          <w:cantSplit/>
        </w:trPr>
        <w:tc>
          <w:tcPr>
            <w:tcW w:type="dxa" w:w="276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Kontrollfenster</w:t>
            </w:r>
          </w:p>
        </w:tc>
        <w:tc>
          <w:tcPr>
            <w:tcW w:type="dxa" w:w="746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Wie viel Zeit liegt zwischen einem Fehler und einer Folge, die nur noch schwer zu korrigieren ist?</w:t>
            </w:r>
          </w:p>
        </w:tc>
      </w:tr>
      <w:tr>
        <w:trPr>
          <w:cantSplit/>
        </w:trPr>
        <w:tc>
          <w:tcPr>
            <w:tcW w:type="dxa" w:w="276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Entscheidende Abweichung</w:t>
            </w:r>
          </w:p>
        </w:tc>
        <w:tc>
          <w:tcPr>
            <w:tcW w:type="dxa" w:w="746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Welcher Widerspruch erzwingt die Wiederaufnahme des Falls oder verhindert die Wirkung?</w:t>
            </w:r>
          </w:p>
        </w:tc>
      </w:tr>
      <w:tr>
        <w:trPr>
          <w:cantSplit/>
        </w:trPr>
        <w:tc>
          <w:tcPr>
            <w:tcW w:type="dxa" w:w="276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Stoppen</w:t>
            </w:r>
          </w:p>
        </w:tc>
        <w:tc>
          <w:tcPr>
            <w:tcW w:type="dxa" w:w="746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Wer darf das Verfahren bei welchem Signal stoppen, und welcher Dienst läuft im eingeschränkten Betriebsmodus weiter?</w:t>
            </w:r>
          </w:p>
        </w:tc>
      </w:tr>
      <w:tr>
        <w:trPr>
          <w:cantSplit/>
        </w:trPr>
        <w:tc>
          <w:tcPr>
            <w:tcW w:type="dxa" w:w="276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Ausstieg</w:t>
            </w:r>
          </w:p>
        </w:tc>
        <w:tc>
          <w:tcPr>
            <w:tcW w:type="dxa" w:w="746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Lassen sich Daten, Register, Konfigurationen und Berechtigungen ohne den Hauptdienst rekonstruieren?</w:t>
            </w:r>
          </w:p>
        </w:tc>
      </w:tr>
    </w:tbl>
    <w:p>
      <w:pPr>
        <w:spacing w:after="0"/>
      </w:pPr>
    </w:p>
    <w:p>
      <w:pPr>
        <w:pStyle w:val="Heading1"/>
      </w:pPr>
      <w:r>
        <w:t>4. Fallbibliothek</w:t>
      </w:r>
    </w:p>
    <w:p>
      <w:pPr>
        <w:keepLines w:val="0"/>
      </w:pPr>
      <w:r>
        <w:rPr>
          <w:rFonts w:ascii="DejaVu Sans" w:hAnsi="DejaVu Sans" w:eastAsia="DejaVu Sans"/>
          <w:color w:val="1E2528"/>
          <w:sz w:val="18"/>
        </w:rPr>
        <w:t>Die Prüfung verwendet nicht nur bequeme Stichproben. Sie baut eine versionierte Bibliothek realistischer Versagensfälle auf und hält für jeden Fall das legitime Ergebnis, mögliche Widerlegungen und die fachkundige Person fest, die ihn rekonstruieren kann.</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454"/>
        <w:gridCol w:w="7770"/>
      </w:tblGrid>
      <w:tr>
        <w:trPr>
          <w:tblHeader w:val="true"/>
          <w:cantSplit/>
        </w:trPr>
        <w:tc>
          <w:tcPr>
            <w:tcW w:type="dxa" w:w="2454"/>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Fallfamilie</w:t>
            </w:r>
          </w:p>
        </w:tc>
        <w:tc>
          <w:tcPr>
            <w:tcW w:type="dxa" w:w="7770"/>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Was geprüft werden muss</w:t>
            </w:r>
          </w:p>
        </w:tc>
      </w:tr>
      <w:tr>
        <w:trPr>
          <w:cantSplit/>
        </w:trPr>
        <w:tc>
          <w:tcPr>
            <w:tcW w:type="dxa" w:w="2454"/>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Regelfall</w:t>
            </w:r>
          </w:p>
        </w:tc>
        <w:tc>
          <w:tcPr>
            <w:tcW w:type="dxa" w:w="7770"/>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Erwartete Leistung, reale Bearbeitungszeit und Verständlichkeit der Erklärung.</w:t>
            </w:r>
          </w:p>
        </w:tc>
      </w:tr>
      <w:tr>
        <w:trPr>
          <w:cantSplit/>
        </w:trPr>
        <w:tc>
          <w:tcPr>
            <w:tcW w:type="dxa" w:w="2454"/>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Grenzfall</w:t>
            </w:r>
          </w:p>
        </w:tc>
        <w:tc>
          <w:tcPr>
            <w:tcW w:type="dxa" w:w="7770"/>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Seltene, aber plausible Bedingung, die das Ergebnis ändern könnte.</w:t>
            </w:r>
          </w:p>
        </w:tc>
      </w:tr>
      <w:tr>
        <w:trPr>
          <w:cantSplit/>
        </w:trPr>
        <w:tc>
          <w:tcPr>
            <w:tcW w:type="dxa" w:w="2454"/>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Unvollständige Daten</w:t>
            </w:r>
          </w:p>
        </w:tc>
        <w:tc>
          <w:tcPr>
            <w:tcW w:type="dxa" w:w="7770"/>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Fähigkeit, fehlende Informationen zu erkennen und unbegründetes Vertrauen zu verhindern.</w:t>
            </w:r>
          </w:p>
        </w:tc>
      </w:tr>
      <w:tr>
        <w:trPr>
          <w:cantSplit/>
        </w:trPr>
        <w:tc>
          <w:tcPr>
            <w:tcW w:type="dxa" w:w="2454"/>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Widersprüchliche Anweisungen</w:t>
            </w:r>
          </w:p>
        </w:tc>
        <w:tc>
          <w:tcPr>
            <w:tcW w:type="dxa" w:w="7770"/>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Priorität, Eskalation und Rückverfolgbarkeit der angewandten Regel.</w:t>
            </w:r>
          </w:p>
        </w:tc>
      </w:tr>
      <w:tr>
        <w:trPr>
          <w:cantSplit/>
        </w:trPr>
        <w:tc>
          <w:tcPr>
            <w:tcW w:type="dxa" w:w="2454"/>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Korrelierter Fehler</w:t>
            </w:r>
          </w:p>
        </w:tc>
        <w:tc>
          <w:tcPr>
            <w:tcW w:type="dxa" w:w="7770"/>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Gemeinsame Quelle, Annotation, Abhängigkeit oder Metrik, durch die beide Systeme auf dieselbe Weise irren könnten.</w:t>
            </w:r>
          </w:p>
        </w:tc>
      </w:tr>
      <w:tr>
        <w:trPr>
          <w:cantSplit/>
        </w:trPr>
        <w:tc>
          <w:tcPr>
            <w:tcW w:type="dxa" w:w="2454"/>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Überlastung</w:t>
            </w:r>
          </w:p>
        </w:tc>
        <w:tc>
          <w:tcPr>
            <w:tcW w:type="dxa" w:w="7770"/>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Parallelität, Aufmerksamkeit und Prüfkapazität beim vorgesehenen Volumen.</w:t>
            </w:r>
          </w:p>
        </w:tc>
      </w:tr>
      <w:tr>
        <w:trPr>
          <w:cantSplit/>
        </w:trPr>
        <w:tc>
          <w:tcPr>
            <w:tcW w:type="dxa" w:w="2454"/>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Nichtverfügbarkeit</w:t>
            </w:r>
          </w:p>
        </w:tc>
        <w:tc>
          <w:tcPr>
            <w:tcW w:type="dxa" w:w="7770"/>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Eingeschränkter Betrieb, Kontinuität, Wiederaufnahme und auf Nutzende und Personal verlagerte Kosten.</w:t>
            </w:r>
          </w:p>
        </w:tc>
      </w:tr>
      <w:tr>
        <w:trPr>
          <w:cantSplit/>
        </w:trPr>
        <w:tc>
          <w:tcPr>
            <w:tcW w:type="dxa" w:w="2454"/>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Ausstieg</w:t>
            </w:r>
          </w:p>
        </w:tc>
        <w:tc>
          <w:tcPr>
            <w:tcW w:type="dxa" w:w="7770"/>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Wiederaufnahme eines Falls außerhalb des Hauptdienstes mit funktionsfähigen Berechtigungen und Konfigurationen.</w:t>
            </w:r>
          </w:p>
        </w:tc>
      </w:tr>
    </w:tbl>
    <w:p>
      <w:pPr>
        <w:spacing w:after="0"/>
      </w:pPr>
    </w:p>
    <w:p>
      <w:pPr>
        <w:pStyle w:val="Heading1"/>
      </w:pPr>
      <w:r>
        <w:t>5. Verfahren in Phasen</w:t>
      </w:r>
    </w:p>
    <w:p>
      <w:pPr>
        <w:pStyle w:val="Heading2"/>
      </w:pPr>
      <w:r>
        <w:t>Phase 0 - Vorbereitung</w:t>
      </w:r>
    </w:p>
    <w:p>
      <w:pPr>
        <w:keepLines w:val="0"/>
      </w:pPr>
      <w:r>
        <w:rPr>
          <w:rFonts w:ascii="DejaVu Sans" w:hAnsi="DejaVu Sans" w:eastAsia="DejaVu Sans"/>
          <w:color w:val="1E2528"/>
          <w:sz w:val="18"/>
        </w:rPr>
        <w:t>Füllen Sie Zweck, Mandat, Nachweis, Verteilung, Schaden, Rechtsschutz und Ausstieg aus. Dokumentieren Sie entscheidende Abweichung, Stoppschwelle, eingeschränkten Betriebsmodus und verbotene Daten, bevor Sie die Leistung eines der Systeme beobachten.</w:t>
      </w:r>
    </w:p>
    <w:p>
      <w:pPr>
        <w:pStyle w:val="Heading2"/>
      </w:pPr>
      <w:r>
        <w:t>Phase 1 - Getrennter Schattenbetrieb</w:t>
      </w:r>
    </w:p>
    <w:p>
      <w:pPr>
        <w:keepLines w:val="0"/>
      </w:pPr>
      <w:r>
        <w:rPr>
          <w:rFonts w:ascii="DejaVu Sans" w:hAnsi="DejaVu Sans" w:eastAsia="DejaVu Sans"/>
          <w:color w:val="1E2528"/>
          <w:sz w:val="18"/>
        </w:rPr>
        <w:t>A und B beobachten dieselben Fälle ohne Außenwirkung. Eingaben, Versionen, Ergebnisse, Quellen und Register bleiben getrennt. Ein Mensch vergleicht die entscheidenden Punkte, nicht nur sprachliche Ähnlichkeit.</w:t>
      </w:r>
    </w:p>
    <w:p>
      <w:pPr>
        <w:pStyle w:val="Heading2"/>
      </w:pPr>
      <w:r>
        <w:t>Phase 2 - Korrelierte Fehler</w:t>
      </w:r>
    </w:p>
    <w:p>
      <w:pPr>
        <w:keepLines w:val="0"/>
      </w:pPr>
      <w:r>
        <w:rPr>
          <w:rFonts w:ascii="DejaVu Sans" w:hAnsi="DejaVu Sans" w:eastAsia="DejaVu Sans"/>
          <w:color w:val="1E2528"/>
          <w:sz w:val="18"/>
        </w:rPr>
        <w:t>Führen Sie fehlerhafte gemeinsame Quellen, fehlende Daten, seltene Ausnahmen, widersprüchliche Anweisungen, gemeinsam genutzte Komponenten und Nichtverfügbarkeit ein. Prüfen Sie, ob Übereinstimmung eine gemeinsame Abhängigkeit verdeckt.</w:t>
      </w:r>
    </w:p>
    <w:p>
      <w:pPr>
        <w:pStyle w:val="Heading2"/>
      </w:pPr>
      <w:r>
        <w:t>Phase 3 - Rekonstruktion unter Last</w:t>
      </w:r>
    </w:p>
    <w:p>
      <w:pPr>
        <w:keepLines w:val="0"/>
      </w:pPr>
      <w:r>
        <w:rPr>
          <w:rFonts w:ascii="DejaVu Sans" w:hAnsi="DejaVu Sans" w:eastAsia="DejaVu Sans"/>
          <w:color w:val="1E2528"/>
          <w:sz w:val="18"/>
        </w:rPr>
        <w:t>Wiederholen Sie die Prüfung mit vorgesehenem Volumen und vorgesehener Parallelität. Messen Sie die Zeit, um die ergebnisändernde Tatsache zu finden, die Alternative zu vergleichen und vor Eintritt des Schadens zu stoppen.</w:t>
      </w:r>
    </w:p>
    <w:p>
      <w:pPr>
        <w:pStyle w:val="Heading2"/>
      </w:pPr>
      <w:r>
        <w:t>Phase 4 - Begrenztes und reversibles Volumen</w:t>
      </w:r>
    </w:p>
    <w:p>
      <w:pPr>
        <w:keepLines w:val="0"/>
      </w:pPr>
      <w:r>
        <w:rPr>
          <w:rFonts w:ascii="DejaVu Sans" w:hAnsi="DejaVu Sans" w:eastAsia="DejaVu Sans"/>
          <w:color w:val="1E2528"/>
          <w:sz w:val="18"/>
        </w:rPr>
        <w:t>Nur wenn die vorherigen Phasen tragen, verwenden Sie einen begrenzten Geltungsbereich mit reversiblen Wirkungen, vollständigen Registern, erreichbarer verantwortlicher Person und sofortigem Stoppen. Ein günstiger Durchschnitt genehmigt keine automatische Ausweitung.</w:t>
      </w:r>
    </w:p>
    <w:p>
      <w:pPr>
        <w:pStyle w:val="Heading2"/>
      </w:pPr>
      <w:r>
        <w:t>Phase 5 - Ausstieg und erneute Prüfung</w:t>
      </w:r>
    </w:p>
    <w:p>
      <w:pPr>
        <w:keepLines w:val="0"/>
      </w:pPr>
      <w:r>
        <w:rPr>
          <w:rFonts w:ascii="DejaVu Sans" w:hAnsi="DejaVu Sans" w:eastAsia="DejaVu Sans"/>
          <w:color w:val="1E2528"/>
          <w:sz w:val="18"/>
        </w:rPr>
        <w:t>Exportieren und öffnen Sie einen Fall mit Daten, Konfigurationen und Berechtigungen außerhalb des Hauptdienstes erneut. Prüfen Sie erneut, wenn sich Modell, Daten, Anbieter, Umfang, Aufgabe oder verantwortliche Personen ändern oder die festgelegte Frist erreicht ist.</w:t>
      </w:r>
    </w:p>
    <w:p>
      <w:pPr>
        <w:pStyle w:val="Heading1"/>
      </w:pPr>
      <w:r>
        <w:t>6. Besondere Bedingungen der Prüfung mit zwei Systemen</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3067"/>
        <w:gridCol w:w="7157"/>
      </w:tblGrid>
      <w:tr>
        <w:trPr>
          <w:tblHeader w:val="true"/>
          <w:cantSplit/>
        </w:trPr>
        <w:tc>
          <w:tcPr>
            <w:tcW w:type="dxa" w:w="3067"/>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Bedingung</w:t>
            </w:r>
          </w:p>
        </w:tc>
        <w:tc>
          <w:tcPr>
            <w:tcW w:type="dxa" w:w="7157"/>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Erforderliche Prüfung</w:t>
            </w:r>
          </w:p>
        </w:tc>
      </w:tr>
      <w:tr>
        <w:trPr>
          <w:cantSplit/>
        </w:trPr>
        <w:tc>
          <w:tcPr>
            <w:tcW w:type="dxa" w:w="3067"/>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Tatsächliche Unabhängigkeit</w:t>
            </w:r>
          </w:p>
        </w:tc>
        <w:tc>
          <w:tcPr>
            <w:tcW w:type="dxa" w:w="7157"/>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Eine relevante Trennung oder Unterschiede bei Quellen, Daten, Zielen und Registern nachweisen. Ein anderer Name, ein anderes Modell oder ein anderer Anbieter genügt nicht.</w:t>
            </w:r>
          </w:p>
        </w:tc>
      </w:tr>
      <w:tr>
        <w:trPr>
          <w:cantSplit/>
        </w:trPr>
        <w:tc>
          <w:tcPr>
            <w:tcW w:type="dxa" w:w="3067"/>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Korrelierte Fehler</w:t>
            </w:r>
          </w:p>
        </w:tc>
        <w:tc>
          <w:tcPr>
            <w:tcW w:type="dxa" w:w="7157"/>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Gemeinsame Schwachstellen suchen: geteilte Quellen, identische Annotationen und Metriken, gemeinsame Abhängigkeiten, unvollständige Daten, widersprüchliche Anweisungen, Überlastung und Nichtverfügbarkeit. Auch Übereinstimmung kann auf dieselbe Weise falsch sein.</w:t>
            </w:r>
          </w:p>
        </w:tc>
      </w:tr>
      <w:tr>
        <w:trPr>
          <w:cantSplit/>
        </w:trPr>
        <w:tc>
          <w:tcPr>
            <w:tcW w:type="dxa" w:w="3067"/>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Entscheidende Abweichung</w:t>
            </w:r>
          </w:p>
        </w:tc>
        <w:tc>
          <w:tcPr>
            <w:tcW w:type="dxa" w:w="7157"/>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Vorab festlegen, welcher Widerspruch das Ergebnis ändern kann; Eingaben, Versionen, Ergebnisse und Register getrennt halten. Bewertungen oder Konfidenzwerte nicht mitteln, um aus Uneinigkeit eine Genehmigung zu machen.</w:t>
            </w:r>
          </w:p>
        </w:tc>
      </w:tr>
      <w:tr>
        <w:trPr>
          <w:cantSplit/>
        </w:trPr>
        <w:tc>
          <w:tcPr>
            <w:tcW w:type="dxa" w:w="3067"/>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Vorab festgelegtes Stoppen</w:t>
            </w:r>
          </w:p>
        </w:tc>
        <w:tc>
          <w:tcPr>
            <w:tcW w:type="dxa" w:w="7157"/>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Wenn eine entscheidende Abweichung im Kontrollfenster nicht rekonstruiert werden kann, die dokumentierte Folge anwenden: Mandat begrenzen, in den eingeschränkten Betriebsmodus wechseln, vor dem Start Nicht delegieren oder die aktive Nutzung Stoppen.</w:t>
            </w:r>
          </w:p>
        </w:tc>
      </w:tr>
    </w:tbl>
    <w:p>
      <w:pPr>
        <w:spacing w:after="0"/>
      </w:pPr>
    </w:p>
    <w:p>
      <w:pPr>
        <w:pStyle w:val="Heading1"/>
      </w:pPr>
      <w:r>
        <w:t>7. Mindestregister</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658"/>
        <w:gridCol w:w="7566"/>
      </w:tblGrid>
      <w:tr>
        <w:trPr>
          <w:tblHeader w:val="true"/>
          <w:cantSplit/>
        </w:trPr>
        <w:tc>
          <w:tcPr>
            <w:tcW w:type="dxa" w:w="2658"/>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Registerfeld</w:t>
            </w:r>
          </w:p>
        </w:tc>
        <w:tc>
          <w:tcPr>
            <w:tcW w:type="dxa" w:w="7566"/>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Aufzubewahrender Inhalt</w:t>
            </w:r>
          </w:p>
        </w:tc>
      </w:tr>
      <w:tr>
        <w:trPr>
          <w:cantSplit/>
        </w:trPr>
        <w:tc>
          <w:tcPr>
            <w:tcW w:type="dxa" w:w="2658"/>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Identifikation</w:t>
            </w:r>
          </w:p>
        </w:tc>
        <w:tc>
          <w:tcPr>
            <w:tcW w:type="dxa" w:w="7566"/>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Fall, Datum, verantwortliche Person, Version A, Version B, Konfigurationen und Quellen.</w:t>
            </w:r>
          </w:p>
        </w:tc>
      </w:tr>
      <w:tr>
        <w:trPr>
          <w:cantSplit/>
        </w:trPr>
        <w:tc>
          <w:tcPr>
            <w:tcW w:type="dxa" w:w="2658"/>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Getrennte Eingaben</w:t>
            </w:r>
          </w:p>
        </w:tc>
        <w:tc>
          <w:tcPr>
            <w:tcW w:type="dxa" w:w="7566"/>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Für jedes System verfügbare Daten, ausgeschlossene Elemente und angewandte Transformationen.</w:t>
            </w:r>
          </w:p>
        </w:tc>
      </w:tr>
      <w:tr>
        <w:trPr>
          <w:cantSplit/>
        </w:trPr>
        <w:tc>
          <w:tcPr>
            <w:tcW w:type="dxa" w:w="2658"/>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Getrennte Ergebnisse</w:t>
            </w:r>
          </w:p>
        </w:tc>
        <w:tc>
          <w:tcPr>
            <w:tcW w:type="dxa" w:w="7566"/>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Antworten, zitierte Quellen, Unsicherheit, Alternativen und verfügbare Zwischenschritte.</w:t>
            </w:r>
          </w:p>
        </w:tc>
      </w:tr>
      <w:tr>
        <w:trPr>
          <w:cantSplit/>
        </w:trPr>
        <w:tc>
          <w:tcPr>
            <w:tcW w:type="dxa" w:w="2658"/>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Übereinstimmung oder Abweichung</w:t>
            </w:r>
          </w:p>
        </w:tc>
        <w:tc>
          <w:tcPr>
            <w:tcW w:type="dxa" w:w="7566"/>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Sachlicher Punkt statt bloßer Stilunterschied; mögliche Wirkung auf die Entscheidung.</w:t>
            </w:r>
          </w:p>
        </w:tc>
      </w:tr>
      <w:tr>
        <w:trPr>
          <w:cantSplit/>
        </w:trPr>
        <w:tc>
          <w:tcPr>
            <w:tcW w:type="dxa" w:w="2658"/>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Menschliche Rekonstruktion</w:t>
            </w:r>
          </w:p>
        </w:tc>
        <w:tc>
          <w:tcPr>
            <w:tcW w:type="dxa" w:w="7566"/>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Entscheidende Tatsache, Regel, Alternative, benötigte Zeit und erforderliche Kompetenz.</w:t>
            </w:r>
          </w:p>
        </w:tc>
      </w:tr>
      <w:tr>
        <w:trPr>
          <w:cantSplit/>
        </w:trPr>
        <w:tc>
          <w:tcPr>
            <w:tcW w:type="dxa" w:w="2658"/>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Folge</w:t>
            </w:r>
          </w:p>
        </w:tc>
        <w:tc>
          <w:tcPr>
            <w:tcW w:type="dxa" w:w="7566"/>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Im Schattenbetrieb fortfahren, wiederholen, Mandat begrenzen, in den eingeschränkten Betriebsmodus wechseln, Nicht delegieren oder Stoppen.</w:t>
            </w:r>
          </w:p>
        </w:tc>
      </w:tr>
      <w:tr>
        <w:trPr>
          <w:cantSplit/>
        </w:trPr>
        <w:tc>
          <w:tcPr>
            <w:tcW w:type="dxa" w:w="2658"/>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Kosten</w:t>
            </w:r>
          </w:p>
        </w:tc>
        <w:tc>
          <w:tcPr>
            <w:tcW w:type="dxa" w:w="7566"/>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Stunden, Verzögerungen, Schulung, Anfechtungen, Abhängigkeit, Energie und Ausstiegsarbeit.</w:t>
            </w:r>
          </w:p>
        </w:tc>
      </w:tr>
    </w:tbl>
    <w:p>
      <w:pPr>
        <w:spacing w:after="0"/>
      </w:pPr>
    </w:p>
    <w:p>
      <w:r>
        <w:br w:type="page"/>
      </w:r>
    </w:p>
    <w:p>
      <w:pPr>
        <w:pStyle w:val="Heading1"/>
      </w:pPr>
      <w:r>
        <w:t>8. Entscheidungsregeln</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3476"/>
        <w:gridCol w:w="6748"/>
      </w:tblGrid>
      <w:tr>
        <w:trPr>
          <w:tblHeader w:val="true"/>
          <w:cantSplit/>
        </w:trPr>
        <w:tc>
          <w:tcPr>
            <w:tcW w:type="dxa" w:w="3476"/>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Situation</w:t>
            </w:r>
          </w:p>
        </w:tc>
        <w:tc>
          <w:tcPr>
            <w:tcW w:type="dxa" w:w="6748"/>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Mindestfolge</w:t>
            </w:r>
          </w:p>
        </w:tc>
      </w:tr>
      <w:tr>
        <w:trPr>
          <w:cantSplit/>
        </w:trPr>
        <w:tc>
          <w:tcPr>
            <w:tcW w:type="dxa" w:w="34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A und B stimmen überein, teilen aber eine ungeprüfte Abhängigkeit</w:t>
            </w:r>
          </w:p>
        </w:tc>
        <w:tc>
          <w:tcPr>
            <w:tcW w:type="dxa" w:w="674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Die Nachweislage bleibt Ungeklärt; das Mandat nicht ausweiten.</w:t>
            </w:r>
          </w:p>
        </w:tc>
      </w:tr>
      <w:tr>
        <w:trPr>
          <w:cantSplit/>
        </w:trPr>
        <w:tc>
          <w:tcPr>
            <w:tcW w:type="dxa" w:w="34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A und B weichen in einem nicht entscheidenden Punkt ab, dessen Ursache rekonstruierbar ist</w:t>
            </w:r>
          </w:p>
        </w:tc>
        <w:tc>
          <w:tcPr>
            <w:tcW w:type="dxa" w:w="674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Dokumentieren; Geltungsbereich beibehalten; Fallbibliothek prüfen.</w:t>
            </w:r>
          </w:p>
        </w:tc>
      </w:tr>
      <w:tr>
        <w:trPr>
          <w:cantSplit/>
        </w:trPr>
        <w:tc>
          <w:tcPr>
            <w:tcW w:type="dxa" w:w="34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Eine entscheidende Abweichung ist innerhalb des Kontrollfensters rekonstruierbar</w:t>
            </w:r>
          </w:p>
        </w:tc>
        <w:tc>
          <w:tcPr>
            <w:tcW w:type="dxa" w:w="674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An die fachkundige prüfende Person weiterleiten; die Wirkung bleibt bis zum Abschluss des Falls ausgesetzt.</w:t>
            </w:r>
          </w:p>
        </w:tc>
      </w:tr>
      <w:tr>
        <w:trPr>
          <w:cantSplit/>
        </w:trPr>
        <w:tc>
          <w:tcPr>
            <w:tcW w:type="dxa" w:w="34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Eine entscheidende Abweichung kann nicht rechtzeitig rekonstruiert werden</w:t>
            </w:r>
          </w:p>
        </w:tc>
        <w:tc>
          <w:tcPr>
            <w:tcW w:type="dxa" w:w="674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Mandat begrenzen oder in den eingeschränkten Betriebsmodus wechseln; ist die Befugnis bereits aktiv, Stoppen.</w:t>
            </w:r>
          </w:p>
        </w:tc>
      </w:tr>
      <w:tr>
        <w:trPr>
          <w:cantSplit/>
        </w:trPr>
        <w:tc>
          <w:tcPr>
            <w:tcW w:type="dxa" w:w="34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Beide Systeme versagen im selben Fall</w:t>
            </w:r>
          </w:p>
        </w:tc>
        <w:tc>
          <w:tcPr>
            <w:tcW w:type="dxa" w:w="674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Die Übereinstimmung als korrelierten Fehler behandeln; Quellen, Daten, Ziele oder Verfahren vor der Wiederholung korrigieren.</w:t>
            </w:r>
          </w:p>
        </w:tc>
      </w:tr>
      <w:tr>
        <w:trPr>
          <w:cantSplit/>
        </w:trPr>
        <w:tc>
          <w:tcPr>
            <w:tcW w:type="dxa" w:w="34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Die Last macht die Aufsicht nominell</w:t>
            </w:r>
          </w:p>
        </w:tc>
        <w:tc>
          <w:tcPr>
            <w:tcW w:type="dxa" w:w="674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Volumen oder Modus reduzieren; menschliche Kapazität finanzieren; keine rein dekorative Unterschrift ergänzen.</w:t>
            </w:r>
          </w:p>
        </w:tc>
      </w:tr>
      <w:tr>
        <w:trPr>
          <w:cantSplit/>
        </w:trPr>
        <w:tc>
          <w:tcPr>
            <w:tcW w:type="dxa" w:w="34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Der Ausstieg erlaubt keine Rekonstruktion des Dienstes</w:t>
            </w:r>
          </w:p>
        </w:tc>
        <w:tc>
          <w:tcPr>
            <w:tcW w:type="dxa" w:w="674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Blockierende Bedingung: vor dem Start Nicht delegieren oder aktive Nutzung Stoppen.</w:t>
            </w:r>
          </w:p>
        </w:tc>
      </w:tr>
    </w:tbl>
    <w:p>
      <w:pPr>
        <w:spacing w:after="0"/>
      </w:pPr>
    </w:p>
    <w:p>
      <w:pPr>
        <w:pStyle w:val="Heading1"/>
      </w:pPr>
      <w:r>
        <w:t>9. Abschlussregister</w:t>
      </w: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rPr>
        <w:tc>
          <w:tcPr>
            <w:tcW w:type="dxa" w:w="10224"/>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ERGEBNIS  </w:t>
            </w:r>
            <w:r>
              <w:rPr>
                <w:rFonts w:ascii="DejaVu Sans" w:hAnsi="DejaVu Sans" w:eastAsia="DejaVu Sans"/>
                <w:color w:val="1E2528"/>
                <w:sz w:val="18"/>
              </w:rPr>
              <w:t>Das Register bewahrt Version, geprüften Geltungsbereich, Versagensfälle, Abweichungen, Aufsichtsstunden, Kosten, ungeklärte Bedingungen, organisatorische Entscheidung, verantwortliche Person, Bedingung zum Stoppen und Prüfungstermin. Ein gutes Ergebnis genehmigt keine ungeprüften Aufgaben, Daten oder Volumina.</w:t>
            </w:r>
          </w:p>
        </w:tc>
      </w:tr>
    </w:tbl>
    <w:p>
      <w:pPr>
        <w:spacing w:after="0"/>
      </w:pPr>
    </w:p>
    <w:p>
      <w:pPr>
        <w:pStyle w:val="Heading2"/>
      </w:pPr>
      <w:r>
        <w:t>Checkliste für den Abschluss</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4601"/>
        <w:gridCol w:w="5623"/>
      </w:tblGrid>
      <w:tr>
        <w:trPr>
          <w:tblHeader w:val="true"/>
          <w:cantSplit/>
        </w:trPr>
        <w:tc>
          <w:tcPr>
            <w:tcW w:type="dxa" w:w="4601"/>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Prüfung</w:t>
            </w:r>
          </w:p>
        </w:tc>
        <w:tc>
          <w:tcPr>
            <w:tcW w:type="dxa" w:w="5623"/>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Ergebnis und Verweis</w:t>
            </w:r>
          </w:p>
        </w:tc>
      </w:tr>
      <w:tr>
        <w:trPr>
          <w:cantSplit/>
          <w:trHeight w:val="360" w:hRule="atLeast"/>
        </w:trPr>
        <w:tc>
          <w:tcPr>
            <w:tcW w:type="dxa" w:w="460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 ] Versionen A und B identifiziert</w:t>
            </w:r>
          </w:p>
        </w:tc>
        <w:tc>
          <w:tcPr>
            <w:tcW w:type="dxa" w:w="5623"/>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r>
        <w:trPr>
          <w:cantSplit/>
          <w:trHeight w:val="360" w:hRule="atLeast"/>
        </w:trPr>
        <w:tc>
          <w:tcPr>
            <w:tcW w:type="dxa" w:w="460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 ] Gemeinsame Abhängigkeiten dokumentiert</w:t>
            </w:r>
          </w:p>
        </w:tc>
        <w:tc>
          <w:tcPr>
            <w:tcW w:type="dxa" w:w="5623"/>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r>
          </w:p>
        </w:tc>
      </w:tr>
      <w:tr>
        <w:trPr>
          <w:cantSplit/>
          <w:trHeight w:val="360" w:hRule="atLeast"/>
        </w:trPr>
        <w:tc>
          <w:tcPr>
            <w:tcW w:type="dxa" w:w="460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 ] Entscheidende Abweichungen rekonstruiert</w:t>
            </w:r>
          </w:p>
        </w:tc>
        <w:tc>
          <w:tcPr>
            <w:tcW w:type="dxa" w:w="5623"/>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r>
        <w:trPr>
          <w:cantSplit/>
          <w:trHeight w:val="360" w:hRule="atLeast"/>
        </w:trPr>
        <w:tc>
          <w:tcPr>
            <w:tcW w:type="dxa" w:w="460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 ] Reale Last und Kontrollfenster geprüft</w:t>
            </w:r>
          </w:p>
        </w:tc>
        <w:tc>
          <w:tcPr>
            <w:tcW w:type="dxa" w:w="5623"/>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r>
          </w:p>
        </w:tc>
      </w:tr>
      <w:tr>
        <w:trPr>
          <w:cantSplit/>
          <w:trHeight w:val="360" w:hRule="atLeast"/>
        </w:trPr>
        <w:tc>
          <w:tcPr>
            <w:tcW w:type="dxa" w:w="460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 ] Rechtsschutz und Befugnis zum Stoppen erreichbar</w:t>
            </w:r>
          </w:p>
        </w:tc>
        <w:tc>
          <w:tcPr>
            <w:tcW w:type="dxa" w:w="5623"/>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r>
        <w:trPr>
          <w:cantSplit/>
          <w:trHeight w:val="360" w:hRule="atLeast"/>
        </w:trPr>
        <w:tc>
          <w:tcPr>
            <w:tcW w:type="dxa" w:w="460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 ] Eingeschränkter Betriebsmodus und Ausstieg geprüft</w:t>
            </w:r>
          </w:p>
        </w:tc>
        <w:tc>
          <w:tcPr>
            <w:tcW w:type="dxa" w:w="5623"/>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r>
          </w:p>
        </w:tc>
      </w:tr>
      <w:tr>
        <w:trPr>
          <w:cantSplit/>
          <w:trHeight w:val="360" w:hRule="atLeast"/>
        </w:trPr>
        <w:tc>
          <w:tcPr>
            <w:tcW w:type="dxa" w:w="460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 ] Kosten von Aufsicht und Nichteinführung dokumentiert</w:t>
            </w:r>
          </w:p>
        </w:tc>
        <w:tc>
          <w:tcPr>
            <w:tcW w:type="dxa" w:w="5623"/>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r>
        <w:trPr>
          <w:cantSplit/>
          <w:trHeight w:val="360" w:hRule="atLeast"/>
        </w:trPr>
        <w:tc>
          <w:tcPr>
            <w:tcW w:type="dxa" w:w="460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Organisatorische Entscheidung</w:t>
            </w:r>
          </w:p>
        </w:tc>
        <w:tc>
          <w:tcPr>
            <w:tcW w:type="dxa" w:w="5623"/>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 ] Fortfahren [ ] Begrenzen und erproben [ ] Nicht delegieren [ ] Stoppen</w:t>
            </w:r>
          </w:p>
        </w:tc>
      </w:tr>
      <w:tr>
        <w:trPr>
          <w:cantSplit/>
          <w:trHeight w:val="360" w:hRule="atLeast"/>
        </w:trPr>
        <w:tc>
          <w:tcPr>
            <w:tcW w:type="dxa" w:w="460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Verantwortliche Person, Unterschrift, Datum und erneute Prüfung</w:t>
            </w:r>
          </w:p>
        </w:tc>
        <w:tc>
          <w:tcPr>
            <w:tcW w:type="dxa" w:w="5623"/>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bl>
    <w:p>
      <w:pPr>
        <w:spacing w:after="0"/>
      </w:pPr>
    </w:p>
    <w:sectPr w:rsidR="00FC693F" w:rsidRPr="0006063C" w:rsidSect="00034616">
      <w:headerReference w:type="default" r:id="rId9"/>
      <w:footerReference w:type="default" r:id="rId10"/>
      <w:footerReference w:type="first" r:id="rId11"/>
      <w:headerReference w:type="first" r:id="rId14"/>
      <w:headerReference w:type="even" r:id="rId15"/>
      <w:footerReference w:type="even" r:id="rId16"/>
      <w:pgSz w:w="12240" w:h="15840"/>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DejaVu Sans" w:hAnsi="DejaVu Sans" w:eastAsia="DejaVu Sans"/>
        <w:color w:val="5D6870"/>
        <w:sz w:val="14"/>
      </w:rPr>
      <w:t>2050 - DE-DE-R1 - LETTER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https://www.corneritaliano.com/de/2050/ressourcen/</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DejaVu Sans" w:hAnsi="DejaVu Sans" w:eastAsia="DejaVu Sans"/>
        <w:color w:val="5D6870"/>
        <w:sz w:val="14"/>
      </w:rPr>
      <w:t>2050 - DE-DE-R1 - LETTER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Erweitertes Prüfprotokoll mit zwei Systemen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Erweitertes Prüfprotokoll mit zwei Systemen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de/2050/ressourcen/" TargetMode="Externa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Erweitertes Prüfprotokoll mit zwei Systemen</dc:title>
  <dc:subject>Ressource complémentaire officielle de 2050</dc:subject>
  <dc:creator>Corner Italiano LLC</dc:creator>
  <cp:keywords>2050, intelligence artificielle, Test 2050, ressources</cp:keywords>
  <dc:description>generated by python-docx</dc:description>
  <cp:lastModifiedBy>Corner Italiano LLC</cp:lastModifiedBy>
  <cp:revision>1</cp:revision>
  <dcterms:created xsi:type="dcterms:W3CDTF">2013-12-23T23:15:00Z</dcterms:created>
  <dcterms:modified xsi:type="dcterms:W3CDTF">2013-12-23T23:15:00Z</dcterms:modified>
  <cp:category/>
</cp:coreProperties>
</file>