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jc w:val="center"/>
      </w:pPr>
      <w:r>
        <w:drawing>
          <wp:inline xmlns:a="http://schemas.openxmlformats.org/drawingml/2006/main" xmlns:pic="http://schemas.openxmlformats.org/drawingml/2006/picture">
            <wp:extent cx="1508760" cy="1005840"/>
            <wp:docPr id="1" name="Picture 1" descr="Logo éditorial de Corner Italiano" title="Corner Italiano"/>
            <wp:cNvGraphicFramePr>
              <a:graphicFrameLocks noChangeAspect="1"/>
            </wp:cNvGraphicFramePr>
            <a:graphic>
              <a:graphicData uri="http://schemas.openxmlformats.org/drawingml/2006/picture">
                <pic:pic>
                  <pic:nvPicPr>
                    <pic:cNvPr id="0" name="corner-italiano-logo.png"/>
                    <pic:cNvPicPr/>
                  </pic:nvPicPr>
                  <pic:blipFill>
                    <a:blip r:embed="rId12"/>
                    <a:stretch>
                      <a:fillRect/>
                    </a:stretch>
                  </pic:blipFill>
                  <pic:spPr>
                    <a:xfrm>
                      <a:off x="0" y="0"/>
                      <a:ext cx="1508760" cy="1005840"/>
                    </a:xfrm>
                    <a:prstGeom prst="rect"/>
                  </pic:spPr>
                </pic:pic>
              </a:graphicData>
            </a:graphic>
          </wp:inline>
        </w:drawing>
      </w:r>
    </w:p>
    <w:p>
      <w:pPr>
        <w:spacing w:before="520" w:after="160"/>
        <w:jc w:val="center"/>
      </w:pPr>
      <w:r>
        <w:rPr>
          <w:rFonts w:ascii="DejaVu Sans" w:hAnsi="DejaVu Sans" w:eastAsia="DejaVu Sans"/>
          <w:b/>
          <w:color w:val="B54B2A"/>
          <w:sz w:val="17"/>
        </w:rPr>
        <w:t>CORNER ITALIANO  |  OFFIZIELLE RESSOURCEN</w:t>
      </w:r>
    </w:p>
    <w:p>
      <w:pPr>
        <w:pStyle w:val="Title"/>
        <w:jc w:val="center"/>
      </w:pPr>
      <w:r>
        <w:rPr>
          <w:rFonts w:ascii="DejaVu Sans" w:hAnsi="DejaVu Sans" w:eastAsia="DejaVu Sans"/>
          <w:b/>
          <w:color w:val="123044"/>
          <w:sz w:val="56"/>
        </w:rPr>
        <w:t>Fall Davide</w:t>
      </w:r>
    </w:p>
    <w:p>
      <w:pPr>
        <w:pStyle w:val="Subtitle"/>
        <w:jc w:val="center"/>
      </w:pPr>
      <w:r>
        <w:rPr>
          <w:rFonts w:ascii="DejaVu Sans" w:hAnsi="DejaVu Sans" w:eastAsia="DejaVu Sans"/>
          <w:color w:val="5D6870"/>
          <w:sz w:val="25"/>
        </w:rPr>
        <w:t>Vollständige Akte, Ausstieg und Wiederaufnahme</w:t>
      </w:r>
    </w:p>
    <w:p>
      <w:pPr>
        <w:spacing w:before="440"/>
        <w:jc w:val="center"/>
      </w:pPr>
      <w:r>
        <w:rPr>
          <w:rFonts w:ascii="DejaVu Sans" w:hAnsi="DejaVu Sans" w:eastAsia="DejaVu Sans"/>
          <w:b/>
          <w:color w:val="B54B2A"/>
          <w:sz w:val="17"/>
        </w:rPr>
        <w:t>VOLLSTÄNDIGES BEISPIEL DES 2050-TESTS</w:t>
      </w:r>
    </w:p>
    <w:p>
      <w:pPr>
        <w:jc w:val="center"/>
      </w:pPr>
      <w:r>
        <w:rPr>
          <w:rFonts w:ascii="DejaVu Sans" w:hAnsi="DejaVu Sans" w:eastAsia="DejaVu Sans"/>
          <w:color w:val="234C61"/>
          <w:sz w:val="19"/>
        </w:rPr>
        <w:t>Stand der deutschen Ausgabe - Juli 2026 - Format A4</w:t>
      </w:r>
    </w:p>
    <w:p>
      <w:pPr>
        <w:spacing w:before="360"/>
        <w:jc w:val="center"/>
      </w:pPr>
      <w:hyperlink r:id="rId13">
        <w:r>
          <w:rPr>
            <w:rFonts w:ascii="DejaVu Sans" w:hAnsi="DejaVu Sans" w:eastAsia="DejaVu Sans"/>
            <w:color w:val="234C61"/>
            <w:u w:val="single"/>
            <w:sz w:val="18"/>
          </w:rPr>
          <w:t>https://www.corneritaliano.com/de/2050/ressourcen/</w:t>
        </w:r>
      </w:hyperlink>
    </w:p>
    <w:p>
      <w:r>
        <w:br w:type="page"/>
      </w:r>
    </w:p>
    <w:tbl>
      <w:tblPr>
        <w:tblW w:type="dxa" w:w="9890"/>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9890"/>
      </w:tblGrid>
      <w:tr>
        <w:trPr>
          <w:cantSplit/>
        </w:trPr>
        <w:tc>
          <w:tcPr>
            <w:tcW w:type="dxa" w:w="9890"/>
            <w:shd w:fill="F7E7E0"/>
            <w:tcMar>
              <w:top w:w="120" w:type="dxa"/>
              <w:start w:w="150" w:type="dxa"/>
              <w:bottom w:w="120" w:type="dxa"/>
              <w:end w:w="150" w:type="dxa"/>
            </w:tcMar>
          </w:tcPr>
          <w:p>
            <w:pPr>
              <w:spacing w:after="40"/>
            </w:pPr>
            <w:r>
              <w:rPr>
                <w:rFonts w:ascii="DejaVu Sans" w:hAnsi="DejaVu Sans" w:eastAsia="DejaVu Sans"/>
                <w:b/>
                <w:color w:val="B54B2A"/>
                <w:sz w:val="17"/>
              </w:rPr>
              <w:t xml:space="preserve">WIE DER FALL ZU LESEN IST  </w:t>
            </w:r>
            <w:r>
              <w:rPr>
                <w:rFonts w:ascii="DejaVu Sans" w:hAnsi="DejaVu Sans" w:eastAsia="DejaVu Sans"/>
                <w:color w:val="1E2528"/>
                <w:sz w:val="18"/>
              </w:rPr>
              <w:t>Die Akte trennt die Einstufung der Nachweislage von der organisatorischen Entscheidung. Auch wenn alle sieben Fragen dokumentiert sind, kann ein leistungsfähiges Produkt zu Nicht delegieren führen, wenn der verbleibende Nutzen Aufsicht, Abhängigkeit und Ausstieg im konkreten Kontext nicht trägt.</w:t>
            </w:r>
          </w:p>
        </w:tc>
      </w:tr>
    </w:tbl>
    <w:p>
      <w:pPr>
        <w:spacing w:after="0"/>
      </w:pPr>
    </w:p>
    <w:p>
      <w:pPr>
        <w:pStyle w:val="Heading1"/>
      </w:pPr>
      <w:r>
        <w:t>Zeitleiste des Falls</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275"/>
        <w:gridCol w:w="7615"/>
      </w:tblGrid>
      <w:tr>
        <w:trPr>
          <w:tblHeader w:val="true"/>
          <w:cantSplit/>
        </w:trPr>
        <w:tc>
          <w:tcPr>
            <w:tcW w:type="dxa" w:w="2275"/>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Zeitpunkt</w:t>
            </w:r>
          </w:p>
        </w:tc>
        <w:tc>
          <w:tcPr>
            <w:tcW w:type="dxa" w:w="7615"/>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Nachweis und Entscheidung</w:t>
            </w:r>
          </w:p>
        </w:tc>
      </w:tr>
      <w:tr>
        <w:trPr>
          <w:cantSplit/>
        </w:trPr>
        <w:tc>
          <w:tcPr>
            <w:tcW w:type="dxa" w:w="2275"/>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Vor dem Pilotprojekt</w:t>
            </w:r>
          </w:p>
        </w:tc>
        <w:tc>
          <w:tcPr>
            <w:tcW w:type="dxa" w:w="7615"/>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Der Ausstiegstest scheitert: Die Register sind lesbar, doch Konfigurationen und Berechtigungen lassen sich nicht rekonstruieren. Das Pilotprojekt beginnt nicht.</w:t>
            </w:r>
          </w:p>
        </w:tc>
      </w:tr>
      <w:tr>
        <w:trPr>
          <w:cantSplit/>
        </w:trPr>
        <w:tc>
          <w:tcPr>
            <w:tcW w:type="dxa" w:w="2275"/>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Zweiter Ausstiegstest</w:t>
            </w:r>
          </w:p>
        </w:tc>
        <w:tc>
          <w:tcPr>
            <w:tcW w:type="dxa" w:w="7615"/>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Das Team öffnet einen Fall in einer getrennten Umgebung erneut, weist Berechtigungen neu zu und arbeitet ohne den Hauptdienst weiter.</w:t>
            </w:r>
          </w:p>
        </w:tc>
      </w:tr>
      <w:tr>
        <w:trPr>
          <w:cantSplit/>
        </w:trPr>
        <w:tc>
          <w:tcPr>
            <w:tcW w:type="dxa" w:w="2275"/>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Start</w:t>
            </w:r>
          </w:p>
        </w:tc>
        <w:tc>
          <w:tcPr>
            <w:tcW w:type="dxa" w:w="7615"/>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Entscheidung: neunzig Tage Begrenzen und erproben, zunächst im Schattenbetrieb und anschließend ausschließlich im Modus Schlägt vor; keine autonome Ausführung.</w:t>
            </w:r>
          </w:p>
        </w:tc>
      </w:tr>
      <w:tr>
        <w:trPr>
          <w:cantSplit/>
        </w:trPr>
        <w:tc>
          <w:tcPr>
            <w:tcW w:type="dxa" w:w="2275"/>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Während des Pilotprojekts</w:t>
            </w:r>
          </w:p>
        </w:tc>
        <w:tc>
          <w:tcPr>
            <w:tcW w:type="dxa" w:w="7615"/>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Das System findet nützliche Präzedenzfälle. Ein plausibler Fehler übernimmt eine Klausel ohne die vereinbarte Begrenzung. Kein Vertrag wird versandt.</w:t>
            </w:r>
          </w:p>
        </w:tc>
      </w:tr>
      <w:tr>
        <w:trPr>
          <w:cantSplit/>
        </w:trPr>
        <w:tc>
          <w:tcPr>
            <w:tcW w:type="dxa" w:w="2275"/>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15. Oktober 2050</w:t>
            </w:r>
          </w:p>
        </w:tc>
        <w:tc>
          <w:tcPr>
            <w:tcW w:type="dxa" w:w="7615"/>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Nach Aufsicht, Schulung, Lernen und Ausstieg bleibt der Nettonutzen bescheiden und unregelmäßig. Entscheidung: Nicht delegieren.</w:t>
            </w:r>
          </w:p>
        </w:tc>
      </w:tr>
      <w:tr>
        <w:trPr>
          <w:cantSplit/>
        </w:trPr>
        <w:tc>
          <w:tcPr>
            <w:tcW w:type="dxa" w:w="2275"/>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16. Oktober 2050</w:t>
            </w:r>
          </w:p>
        </w:tc>
        <w:tc>
          <w:tcPr>
            <w:tcW w:type="dxa" w:w="7615"/>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Das Register dokumentiert auch die Kosten des Neins: wartende Angebote, nicht abrechenbare Stunden, Restzahlung an den Anbieter und einen verlorenen Kunden.</w:t>
            </w:r>
          </w:p>
        </w:tc>
      </w:tr>
      <w:tr>
        <w:trPr>
          <w:cantSplit/>
        </w:trPr>
        <w:tc>
          <w:tcPr>
            <w:tcW w:type="dxa" w:w="2275"/>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Abschluss</w:t>
            </w:r>
          </w:p>
        </w:tc>
        <w:tc>
          <w:tcPr>
            <w:tcW w:type="dxa" w:w="7615"/>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Abschließender Export, Entzug der Zugriffe und zufällige Wiederaufnahme eines Falls ohne Hilfe des Anbieters.</w:t>
            </w:r>
          </w:p>
        </w:tc>
      </w:tr>
      <w:tr>
        <w:trPr>
          <w:cantSplit/>
        </w:trPr>
        <w:tc>
          <w:tcPr>
            <w:tcW w:type="dxa" w:w="2275"/>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15. April 2051</w:t>
            </w:r>
          </w:p>
        </w:tc>
        <w:tc>
          <w:tcPr>
            <w:tcW w:type="dxa" w:w="7615"/>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Wiederaufnahme für einen enger gefassten Vorschlag: nur Suche nach Präzedenzfällen, geschlossene Akten, Schattenbetrieb, keine Außenwirkung und die dauerhafte Möglichkeit, erneut Nein zu sagen.</w:t>
            </w:r>
          </w:p>
        </w:tc>
      </w:tr>
    </w:tbl>
    <w:p>
      <w:pPr>
        <w:spacing w:after="0"/>
      </w:pPr>
    </w:p>
    <w:p>
      <w:pPr>
        <w:pStyle w:val="Heading1"/>
      </w:pPr>
      <w:r>
        <w:t>Akte zum 15. Oktober 2050</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769"/>
        <w:gridCol w:w="7121"/>
      </w:tblGrid>
      <w:tr>
        <w:trPr>
          <w:tblHeader w:val="true"/>
          <w:cantSplit/>
        </w:trPr>
        <w:tc>
          <w:tcPr>
            <w:tcW w:type="dxa" w:w="2769"/>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Feld</w:t>
            </w:r>
          </w:p>
        </w:tc>
        <w:tc>
          <w:tcPr>
            <w:tcW w:type="dxa" w:w="7121"/>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Dokumentation zum 15. Oktober 2050</w:t>
            </w:r>
          </w:p>
        </w:tc>
      </w:tr>
      <w:tr>
        <w:trPr>
          <w:cantSplit/>
        </w:trPr>
        <w:tc>
          <w:tcPr>
            <w:tcW w:type="dxa" w:w="276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System und Entscheidung</w:t>
            </w:r>
          </w:p>
        </w:tc>
        <w:tc>
          <w:tcPr>
            <w:tcW w:type="dxa" w:w="7121"/>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Operativer Zwilling für die Vertragsarbeit. Entscheidung über eine mögliche Einführung nach einem neunzig Tage dauernden Pilotprojekt, zunächst im Schattenbetrieb und danach, falls die Nachweise tragen, im Modus Schlägt vor.</w:t>
            </w:r>
          </w:p>
        </w:tc>
      </w:tr>
      <w:tr>
        <w:trPr>
          <w:cantSplit/>
        </w:trPr>
        <w:tc>
          <w:tcPr>
            <w:tcW w:type="dxa" w:w="2769"/>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Kontext und betroffene Personen</w:t>
            </w:r>
          </w:p>
        </w:tc>
        <w:tc>
          <w:tcPr>
            <w:tcW w:type="dxa" w:w="7121"/>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Davides kleines Unternehmen; die Vertragsverantwortliche; eine jüngere Kollegin in der Ausbildung; der Vertriebsleiter; Kundschaft und Vertragsparteien, die durch Angebote gebunden werden.</w:t>
            </w:r>
          </w:p>
        </w:tc>
      </w:tr>
      <w:tr>
        <w:trPr>
          <w:cantSplit/>
        </w:trPr>
        <w:tc>
          <w:tcPr>
            <w:tcW w:type="dxa" w:w="276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Zweck - Ausreichend</w:t>
            </w:r>
          </w:p>
        </w:tc>
        <w:tc>
          <w:tcPr>
            <w:tcW w:type="dxa" w:w="7121"/>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Rückstand und Vorbereitungszeit verringern, ohne häufiger Ausnahmen zu übersehen, Korrekturen zu verspäten oder unverstandene Verpflichtungen einzugehen. Die organisatorische Alternative wird am selben Bedarf gemessen.</w:t>
            </w:r>
          </w:p>
        </w:tc>
      </w:tr>
      <w:tr>
        <w:trPr>
          <w:cantSplit/>
        </w:trPr>
        <w:tc>
          <w:tcPr>
            <w:tcW w:type="dxa" w:w="2769"/>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Mandat - Ausreichend</w:t>
            </w:r>
          </w:p>
        </w:tc>
        <w:tc>
          <w:tcPr>
            <w:tcW w:type="dxa" w:w="7121"/>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Der Zwilling vergleicht Präzedenzfälle, markiert Abweichungen und formuliert Alternativen. Er nutzt weder Entscheidet noch Führt aus: Er versendet und unterzeichnet nichts; Dienstpläne, Preise, Personal und vertragliche Verpflichtungen bleiben ausgeschlossen. Jede Aufsichtsperson verfolgt höchstens zwölf offene Vorgänge - ein Szenarioschwellenwert, der unter realer Last erneut zu prüfen ist.</w:t>
            </w:r>
          </w:p>
        </w:tc>
      </w:tr>
      <w:tr>
        <w:trPr>
          <w:cantSplit/>
        </w:trPr>
        <w:tc>
          <w:tcPr>
            <w:tcW w:type="dxa" w:w="276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Nachweis - Ausreichend</w:t>
            </w:r>
          </w:p>
        </w:tc>
        <w:tc>
          <w:tcPr>
            <w:tcW w:type="dxa" w:w="7121"/>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Geschlossene Akten mit kostspieligen Ausnahmen, Nutzung im Schattenbetrieb, späterer Wechsel zu Schlägt vor, simulierter Störfall und reale Arbeitslast. Das System findet viele nützliche Präzedenzfälle und macht am entscheidenden Punkt einen plausiblen Fehler; der Nutzen ist real, bescheiden und unregelmäßig.</w:t>
            </w:r>
          </w:p>
        </w:tc>
      </w:tr>
      <w:tr>
        <w:trPr>
          <w:cantSplit/>
        </w:trPr>
        <w:tc>
          <w:tcPr>
            <w:tcW w:type="dxa" w:w="2769"/>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Verteilung - Ausreichend</w:t>
            </w:r>
          </w:p>
        </w:tc>
        <w:tc>
          <w:tcPr>
            <w:tcW w:type="dxa" w:w="7121"/>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Bruttoeinsparungen werden von Fachstunden, Schulung, Lernen, Verzögerungen für Kundschaft und Ausstiegsarbeit getrennt. Die jüngere Kollegin erhält geschützte Zeit zur Rekonstruktion der Fälle.</w:t>
            </w:r>
          </w:p>
        </w:tc>
      </w:tr>
    </w:tbl>
    <w:p>
      <w:pPr>
        <w:spacing w:after="0"/>
      </w:pPr>
    </w:p>
    <w:p>
      <w:r>
        <w:br w:type="page"/>
      </w:r>
    </w:p>
    <w:p>
      <w:pPr>
        <w:pStyle w:val="Heading1"/>
      </w:pPr>
      <w:r>
        <w:t>Akte zum 15. Oktober 2050 - Fortsetzung</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769"/>
        <w:gridCol w:w="7121"/>
      </w:tblGrid>
      <w:tr>
        <w:trPr>
          <w:tblHeader w:val="true"/>
          <w:cantSplit/>
        </w:trPr>
        <w:tc>
          <w:tcPr>
            <w:tcW w:type="dxa" w:w="2769"/>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Feld</w:t>
            </w:r>
          </w:p>
        </w:tc>
        <w:tc>
          <w:tcPr>
            <w:tcW w:type="dxa" w:w="7121"/>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5"/>
              </w:rPr>
              <w:t>Dokumentation zum 15. Oktober 2050</w:t>
            </w:r>
          </w:p>
        </w:tc>
      </w:tr>
      <w:tr>
        <w:trPr>
          <w:cantSplit/>
        </w:trPr>
        <w:tc>
          <w:tcPr>
            <w:tcW w:type="dxa" w:w="276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Schaden - Ausreichend</w:t>
            </w:r>
          </w:p>
        </w:tc>
        <w:tc>
          <w:tcPr>
            <w:tcW w:type="dxa" w:w="7121"/>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Plausibles Versagen: Eine Klausel lässt eine Begrenzung aus oder verlagert ein Risiko, bevor Quelle und Ausnahme verstanden sind. Die Unterschrift schafft ein Kontrollfenster; sie macht den Schaden nicht geringfügig.</w:t>
            </w:r>
          </w:p>
        </w:tc>
      </w:tr>
      <w:tr>
        <w:trPr>
          <w:cantSplit/>
        </w:trPr>
        <w:tc>
          <w:tcPr>
            <w:tcW w:type="dxa" w:w="2769"/>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Rechtsschutz - während des Pilotprojekts Ausreichend</w:t>
            </w:r>
          </w:p>
        </w:tc>
        <w:tc>
          <w:tcPr>
            <w:tcW w:type="dxa" w:w="7121"/>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Keine Außenwirkung erfolgt automatisch. Die Vertragsverantwortliche kann wiederaufnehmen, ändern, blockieren und aussetzen; Eingriffe werden protokolliert. Der Widerspruch des Vertriebsleiters bleibt dokumentiert, ersetzt aber nicht den Rechtsschutz der Gegenpartei.</w:t>
            </w:r>
          </w:p>
        </w:tc>
      </w:tr>
      <w:tr>
        <w:trPr>
          <w:cantSplit/>
        </w:trPr>
        <w:tc>
          <w:tcPr>
            <w:tcW w:type="dxa" w:w="276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Ausstieg - zunächst Blockierend, dann Ausreichend</w:t>
            </w:r>
          </w:p>
        </w:tc>
        <w:tc>
          <w:tcPr>
            <w:tcW w:type="dxa" w:w="7121"/>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Der erste Export erlaubt keine Rekonstruktion von Konfigurationen und Berechtigungen; deshalb beginnt das Pilotprojekt nicht. Beim zweiten Test öffnet das Team einen Fall in einer getrennten Umgebung erneut und arbeitet ohne den Hauptdienst weiter. Zum Abschluss exportiert es Register und Konfigurationen, öffnet einen zufälligen Fall ohne Anbieterhilfe erneut und entzieht die Zugriffe.</w:t>
            </w:r>
          </w:p>
        </w:tc>
      </w:tr>
      <w:tr>
        <w:trPr>
          <w:cantSplit/>
        </w:trPr>
        <w:tc>
          <w:tcPr>
            <w:tcW w:type="dxa" w:w="2769"/>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Vorläufige Entscheidung</w:t>
            </w:r>
          </w:p>
        </w:tc>
        <w:tc>
          <w:tcPr>
            <w:tcW w:type="dxa" w:w="7121"/>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Begrenzen und erproben: neunzig Tage, zunächst im Schattenbetrieb, dann im Modus Schlägt vor; keine autonome Ausführung; Aufsicht, Kontrolle und Lernen werden vom Nutzen abgezogen.</w:t>
            </w:r>
          </w:p>
        </w:tc>
      </w:tr>
      <w:tr>
        <w:trPr>
          <w:cantSplit/>
        </w:trPr>
        <w:tc>
          <w:tcPr>
            <w:tcW w:type="dxa" w:w="276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Überwachung</w:t>
            </w:r>
          </w:p>
        </w:tc>
        <w:tc>
          <w:tcPr>
            <w:tcW w:type="dxa" w:w="7121"/>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Das Team dokumentiert kürzere Bearbeitungszeiten, Ausnahmen, Eingriffe, Fachstunden und die Rekonstruktion der Herkunft. Das System bleibt technisch fähig; bei tatsächlich ausgeübter Aufsicht rechtfertigt der Nettovorteil diesen Prozess und dieses Volumen nicht.</w:t>
            </w:r>
          </w:p>
        </w:tc>
      </w:tr>
      <w:tr>
        <w:trPr>
          <w:cantSplit/>
        </w:trPr>
        <w:tc>
          <w:tcPr>
            <w:tcW w:type="dxa" w:w="2769"/>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Endgültige Entscheidung - 15. Oktober 2050</w:t>
            </w:r>
          </w:p>
        </w:tc>
        <w:tc>
          <w:tcPr>
            <w:tcW w:type="dxa" w:w="7121"/>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Nicht delegieren. Auch im Modus Schlägt vor nicht verlängern; Ausstieg einleiten und eine Alternative aufrechterhalten. Davide unterzeichnet und übernimmt Verantwortung für eine Entscheidung, die auf einen realen Nutzen verzichtet.</w:t>
            </w:r>
          </w:p>
        </w:tc>
      </w:tr>
      <w:tr>
        <w:trPr>
          <w:cantSplit/>
        </w:trPr>
        <w:tc>
          <w:tcPr>
            <w:tcW w:type="dxa" w:w="276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Aufrechterhaltene Alternative</w:t>
            </w:r>
          </w:p>
        </w:tc>
        <w:tc>
          <w:tcPr>
            <w:tcW w:type="dxa" w:w="7121"/>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Sammlung genehmigter Klauseln, früh markierte Ausnahmen, frühere Einbindung der Fachperson und geschützte Stunden zur Rekonstruktion der Fälle.</w:t>
            </w:r>
          </w:p>
        </w:tc>
      </w:tr>
      <w:tr>
        <w:trPr>
          <w:cantSplit/>
        </w:trPr>
        <w:tc>
          <w:tcPr>
            <w:tcW w:type="dxa" w:w="2769"/>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5"/>
              </w:rPr>
              <w:t>Kosten des Neins</w:t>
            </w:r>
          </w:p>
        </w:tc>
        <w:tc>
          <w:tcPr>
            <w:tcW w:type="dxa" w:w="7121"/>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5"/>
              </w:rPr>
              <w:t>Wartende Angebote, nicht abrechenbare Stunden, Restzahlung an den Anbieter, geringere Marge und ein verlorener Kunde. Das Unternehmen behält lesbare Akten und besser verteilte Kompetenz.</w:t>
            </w:r>
          </w:p>
        </w:tc>
      </w:tr>
      <w:tr>
        <w:trPr>
          <w:cantSplit/>
        </w:trPr>
        <w:tc>
          <w:tcPr>
            <w:tcW w:type="dxa" w:w="276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5"/>
              </w:rPr>
              <w:t>Verantwortung und erneute Prüfung</w:t>
            </w:r>
          </w:p>
        </w:tc>
        <w:tc>
          <w:tcPr>
            <w:tcW w:type="dxa" w:w="7121"/>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5"/>
              </w:rPr>
              <w:t>Davide. Abschlussregister vom 16. Oktober 2050; erneute Prüfung vorgesehen für den 15. April 2051.</w:t>
            </w:r>
          </w:p>
        </w:tc>
      </w:tr>
    </w:tbl>
    <w:p>
      <w:pPr>
        <w:spacing w:after="0"/>
      </w:pPr>
    </w:p>
    <w:p>
      <w:pPr>
        <w:pStyle w:val="Heading1"/>
      </w:pPr>
      <w:r>
        <w:t>Wiederaufnahme: 15. April 2051</w:t>
      </w:r>
    </w:p>
    <w:p>
      <w:pPr>
        <w:keepLines w:val="0"/>
      </w:pPr>
      <w:r>
        <w:rPr>
          <w:rFonts w:ascii="DejaVu Sans" w:hAnsi="DejaVu Sans" w:eastAsia="DejaVu Sans"/>
          <w:color w:val="1E2528"/>
          <w:sz w:val="18"/>
        </w:rPr>
        <w:t>Sechs Monate später wird das Nein erneut geprüft, ohne es auszulöschen. Der Vorschlag ist neu und enger gefasst; die Prüfung bleibt vom Kauf getrennt und erhält die konkrete Möglichkeit, erneut Nein zu sagen.</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670"/>
        <w:gridCol w:w="7220"/>
      </w:tblGrid>
      <w:tr>
        <w:trPr>
          <w:tblHeader w:val="true"/>
          <w:cantSplit/>
        </w:trPr>
        <w:tc>
          <w:tcPr>
            <w:tcW w:type="dxa" w:w="2670"/>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Feld</w:t>
            </w:r>
          </w:p>
        </w:tc>
        <w:tc>
          <w:tcPr>
            <w:tcW w:type="dxa" w:w="7220"/>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Wiederaufnahme am 15. April 2051</w:t>
            </w:r>
          </w:p>
        </w:tc>
      </w:tr>
      <w:tr>
        <w:trPr>
          <w:cantSplit/>
        </w:trPr>
        <w:tc>
          <w:tcPr>
            <w:tcW w:type="dxa" w:w="2670"/>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Neuer Vorschlag</w:t>
            </w:r>
          </w:p>
        </w:tc>
        <w:tc>
          <w:tcPr>
            <w:tcW w:type="dxa" w:w="7220"/>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Präzedenzfälle suchen, ohne Angebote zu erzeugen, zu geringeren Kosten und ohne Zugriff auf offene Akten.</w:t>
            </w:r>
          </w:p>
        </w:tc>
      </w:tr>
      <w:tr>
        <w:trPr>
          <w:cantSplit/>
        </w:trPr>
        <w:tc>
          <w:tcPr>
            <w:tcW w:type="dxa" w:w="2670"/>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Prüfbereich</w:t>
            </w:r>
          </w:p>
        </w:tc>
        <w:tc>
          <w:tcPr>
            <w:tcW w:type="dxa" w:w="7220"/>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Neuer Test im Schattenbetrieb mit geschlossenen Akten; weder Kauf noch Außenwirkung sind genehmigt.</w:t>
            </w:r>
          </w:p>
        </w:tc>
      </w:tr>
      <w:tr>
        <w:trPr>
          <w:cantSplit/>
        </w:trPr>
        <w:tc>
          <w:tcPr>
            <w:tcW w:type="dxa" w:w="2670"/>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Nachweise und Kosten</w:t>
            </w:r>
          </w:p>
        </w:tc>
        <w:tc>
          <w:tcPr>
            <w:tcW w:type="dxa" w:w="7220"/>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Wartezeiten, verspätete Korrekturen, Marge, Fachstunden, Aufsicht, Schulung und Lernen bleiben in derselben Rechnung dokumentiert.</w:t>
            </w:r>
          </w:p>
        </w:tc>
      </w:tr>
      <w:tr>
        <w:trPr>
          <w:cantSplit/>
        </w:trPr>
        <w:tc>
          <w:tcPr>
            <w:tcW w:type="dxa" w:w="2670"/>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Schwellenwert und Stoppen</w:t>
            </w:r>
          </w:p>
        </w:tc>
        <w:tc>
          <w:tcPr>
            <w:tcW w:type="dxa" w:w="7220"/>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t>Erfolgskriterium, verantwortliche Person und Befugnis zum Stoppen werden vor dem Start festgelegt; der Test kann ohne Kauf des Systems beendet werden.</w:t>
            </w:r>
          </w:p>
        </w:tc>
      </w:tr>
      <w:tr>
        <w:trPr>
          <w:cantSplit/>
        </w:trPr>
        <w:tc>
          <w:tcPr>
            <w:tcW w:type="dxa" w:w="2670"/>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Entscheidung</w:t>
            </w:r>
          </w:p>
        </w:tc>
        <w:tc>
          <w:tcPr>
            <w:tcW w:type="dxa" w:w="7220"/>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t>Die erneute Prüfung hebt das erste Nein nicht auf. Nach Abschluss des Tests bleiben Nicht delegieren und die konkrete Möglichkeit, erneut Nein zu sagen, verfügbar.</w:t>
            </w:r>
          </w:p>
        </w:tc>
      </w:tr>
    </w:tbl>
    <w:p>
      <w:pPr>
        <w:spacing w:after="0"/>
      </w:pPr>
    </w:p>
    <w:p>
      <w:pPr>
        <w:pStyle w:val="Heading1"/>
      </w:pPr>
      <w:r>
        <w:t>Übertragbares Kriterium</w:t>
      </w:r>
    </w:p>
    <w:tbl>
      <w:tblPr>
        <w:tblW w:type="dxa" w:w="9890"/>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9890"/>
      </w:tblGrid>
      <w:tr>
        <w:trPr>
          <w:cantSplit/>
        </w:trPr>
        <w:tc>
          <w:tcPr>
            <w:tcW w:type="dxa" w:w="9890"/>
            <w:shd w:fill="F7E7E0"/>
            <w:tcMar>
              <w:top w:w="120" w:type="dxa"/>
              <w:start w:w="150" w:type="dxa"/>
              <w:bottom w:w="120" w:type="dxa"/>
              <w:end w:w="150" w:type="dxa"/>
            </w:tcMar>
          </w:tcPr>
          <w:p>
            <w:pPr>
              <w:spacing w:after="40"/>
            </w:pPr>
            <w:r>
              <w:rPr>
                <w:rFonts w:ascii="DejaVu Sans" w:hAnsi="DejaVu Sans" w:eastAsia="DejaVu Sans"/>
                <w:b/>
                <w:color w:val="B54B2A"/>
                <w:sz w:val="17"/>
              </w:rPr>
              <w:t xml:space="preserve">DIE AUSSAGE DES FALLS  </w:t>
            </w:r>
            <w:r>
              <w:rPr>
                <w:rFonts w:ascii="DejaVu Sans" w:hAnsi="DejaVu Sans" w:eastAsia="DejaVu Sans"/>
                <w:color w:val="1E2528"/>
                <w:sz w:val="18"/>
              </w:rPr>
              <w:t>Nicht delegieren bedeutet nicht, das Produkt für nutzlos zu erklären. Es bedeutet, diese Befugnis in diesem Verfahren und zu diesem Zeitpunkt abzulehnen, wenn der verbleibende Nutzen Aufsicht, Abhängigkeit und Ausstieg nicht trägt und eine bessere organisatorische Alternative besteht. Das Nein bleibt begründet, kostspielig und erneut prüfbar.</w:t>
            </w:r>
          </w:p>
        </w:tc>
      </w:tr>
    </w:tbl>
    <w:p>
      <w:pPr>
        <w:spacing w:after="0"/>
      </w:pPr>
    </w:p>
    <w:p>
      <w:pPr>
        <w:pStyle w:val="Heading2"/>
      </w:pPr>
      <w:r>
        <w:t>Fragen zur Übertragung des Falls</w:t>
      </w:r>
    </w:p>
    <w:tbl>
      <w:tblPr>
        <w:tblW w:type="dxa" w:w="9890"/>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4846"/>
        <w:gridCol w:w="5044"/>
      </w:tblGrid>
      <w:tr>
        <w:trPr>
          <w:tblHeader w:val="true"/>
          <w:cantSplit/>
        </w:trPr>
        <w:tc>
          <w:tcPr>
            <w:tcW w:type="dxa" w:w="4846"/>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Frage</w:t>
            </w:r>
          </w:p>
        </w:tc>
        <w:tc>
          <w:tcPr>
            <w:tcW w:type="dxa" w:w="5044"/>
            <w:vAlign w:val="center"/>
            <w:tcMar>
              <w:top w:w="90" w:type="dxa"/>
              <w:start w:w="120" w:type="dxa"/>
              <w:bottom w:w="90" w:type="dxa"/>
              <w:end w:w="120" w:type="dxa"/>
            </w:tcMar>
            <w:shd w:fill="123044"/>
          </w:tcPr>
          <w:p>
            <w:pPr>
              <w:spacing w:after="0" w:line="259" w:lineRule="auto"/>
            </w:pPr>
            <w:r>
              <w:rPr>
                <w:rFonts w:ascii="DejaVu Sans" w:hAnsi="DejaVu Sans" w:eastAsia="DejaVu Sans"/>
                <w:b/>
                <w:color w:val="FFFFFF"/>
                <w:sz w:val="16"/>
              </w:rPr>
              <w:t>Nachweise, die im eigenen Kontext zu suchen sind</w:t>
            </w:r>
          </w:p>
        </w:tc>
      </w:tr>
      <w:tr>
        <w:trPr>
          <w:cantSplit/>
          <w:trHeight w:val="520" w:hRule="atLeast"/>
        </w:trPr>
        <w:tc>
          <w:tcPr>
            <w:tcW w:type="dxa" w:w="4846"/>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Misst das Erfolgskriterium den Bedarf oder nur das erzeugte Volumen?</w:t>
            </w:r>
          </w:p>
        </w:tc>
        <w:tc>
          <w:tcPr>
            <w:tcW w:type="dxa" w:w="5044"/>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r>
          </w:p>
        </w:tc>
      </w:tr>
      <w:tr>
        <w:trPr>
          <w:cantSplit/>
          <w:trHeight w:val="520" w:hRule="atLeast"/>
        </w:trPr>
        <w:tc>
          <w:tcPr>
            <w:tcW w:type="dxa" w:w="4846"/>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Welche Befugnis muss im Modus Unterstützt oder Schlägt vor bleiben?</w:t>
            </w:r>
          </w:p>
        </w:tc>
        <w:tc>
          <w:tcPr>
            <w:tcW w:type="dxa" w:w="5044"/>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r>
          </w:p>
        </w:tc>
      </w:tr>
      <w:tr>
        <w:trPr>
          <w:cantSplit/>
          <w:trHeight w:val="520" w:hRule="atLeast"/>
        </w:trPr>
        <w:tc>
          <w:tcPr>
            <w:tcW w:type="dxa" w:w="4846"/>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Wer bezahlt Aufsicht, Schulung, Wartezeit und Ausstieg?</w:t>
            </w:r>
          </w:p>
        </w:tc>
        <w:tc>
          <w:tcPr>
            <w:tcW w:type="dxa" w:w="5044"/>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r>
          </w:p>
        </w:tc>
      </w:tr>
      <w:tr>
        <w:trPr>
          <w:cantSplit/>
          <w:trHeight w:val="520" w:hRule="atLeast"/>
        </w:trPr>
        <w:tc>
          <w:tcPr>
            <w:tcW w:type="dxa" w:w="4846"/>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Welcher plausible Fehler wirkt elegant und überzeugend, liegt aber am entscheidenden Punkt falsch?</w:t>
            </w:r>
          </w:p>
        </w:tc>
        <w:tc>
          <w:tcPr>
            <w:tcW w:type="dxa" w:w="5044"/>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r>
          </w:p>
        </w:tc>
      </w:tr>
      <w:tr>
        <w:trPr>
          <w:cantSplit/>
          <w:trHeight w:val="520" w:hRule="atLeast"/>
        </w:trPr>
        <w:tc>
          <w:tcPr>
            <w:tcW w:type="dxa" w:w="4846"/>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Erlaubt der Ausstiegstest auch die Rekonstruktion von Konfigurationen und Berechtigungen?</w:t>
            </w:r>
          </w:p>
        </w:tc>
        <w:tc>
          <w:tcPr>
            <w:tcW w:type="dxa" w:w="5044"/>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r>
          </w:p>
        </w:tc>
      </w:tr>
      <w:tr>
        <w:trPr>
          <w:cantSplit/>
          <w:trHeight w:val="520" w:hRule="atLeast"/>
        </w:trPr>
        <w:tc>
          <w:tcPr>
            <w:tcW w:type="dxa" w:w="4846"/>
            <w:vAlign w:val="center"/>
            <w:tcMar>
              <w:top w:w="90" w:type="dxa"/>
              <w:start w:w="120" w:type="dxa"/>
              <w:bottom w:w="90" w:type="dxa"/>
              <w:end w:w="120" w:type="dxa"/>
            </w:tcMar>
            <w:shd w:fill="EFF2F3"/>
          </w:tcPr>
          <w:p>
            <w:pPr>
              <w:spacing w:after="0" w:line="259" w:lineRule="auto"/>
            </w:pPr>
            <w:r>
              <w:rPr>
                <w:rFonts w:ascii="DejaVu Sans" w:hAnsi="DejaVu Sans" w:eastAsia="DejaVu Sans"/>
                <w:b/>
                <w:color w:val="1E2528"/>
                <w:sz w:val="16"/>
              </w:rPr>
              <w:t>Welche organisatorische Alternative erfüllt denselben Bedarf?</w:t>
            </w:r>
          </w:p>
        </w:tc>
        <w:tc>
          <w:tcPr>
            <w:tcW w:type="dxa" w:w="5044"/>
            <w:vAlign w:val="center"/>
            <w:tcMar>
              <w:top w:w="90" w:type="dxa"/>
              <w:start w:w="120" w:type="dxa"/>
              <w:bottom w:w="90" w:type="dxa"/>
              <w:end w:w="120" w:type="dxa"/>
            </w:tcMar>
            <w:shd w:fill="EFF2F3"/>
          </w:tcPr>
          <w:p>
            <w:pPr>
              <w:spacing w:after="0" w:line="259" w:lineRule="auto"/>
            </w:pPr>
            <w:r>
              <w:rPr>
                <w:rFonts w:ascii="DejaVu Sans" w:hAnsi="DejaVu Sans" w:eastAsia="DejaVu Sans"/>
                <w:b w:val="0"/>
                <w:color w:val="1E2528"/>
                <w:sz w:val="16"/>
              </w:rPr>
            </w:r>
          </w:p>
        </w:tc>
      </w:tr>
      <w:tr>
        <w:trPr>
          <w:cantSplit/>
          <w:trHeight w:val="520" w:hRule="atLeast"/>
        </w:trPr>
        <w:tc>
          <w:tcPr>
            <w:tcW w:type="dxa" w:w="4846"/>
            <w:vAlign w:val="center"/>
            <w:tcMar>
              <w:top w:w="90" w:type="dxa"/>
              <w:start w:w="120" w:type="dxa"/>
              <w:bottom w:w="90" w:type="dxa"/>
              <w:end w:w="120" w:type="dxa"/>
            </w:tcMar>
          </w:tcPr>
          <w:p>
            <w:pPr>
              <w:spacing w:after="0" w:line="259" w:lineRule="auto"/>
            </w:pPr>
            <w:r>
              <w:rPr>
                <w:rFonts w:ascii="DejaVu Sans" w:hAnsi="DejaVu Sans" w:eastAsia="DejaVu Sans"/>
                <w:b/>
                <w:color w:val="1E2528"/>
                <w:sz w:val="16"/>
              </w:rPr>
              <w:t>Welche Änderung rechtfertigt eine Wiederaufnahme, ohne das erste Nein auszulöschen?</w:t>
            </w:r>
          </w:p>
        </w:tc>
        <w:tc>
          <w:tcPr>
            <w:tcW w:type="dxa" w:w="5044"/>
            <w:vAlign w:val="center"/>
            <w:tcMar>
              <w:top w:w="90" w:type="dxa"/>
              <w:start w:w="120" w:type="dxa"/>
              <w:bottom w:w="90" w:type="dxa"/>
              <w:end w:w="120" w:type="dxa"/>
            </w:tcMar>
          </w:tcPr>
          <w:p>
            <w:pPr>
              <w:spacing w:after="0" w:line="259" w:lineRule="auto"/>
            </w:pPr>
            <w:r>
              <w:rPr>
                <w:rFonts w:ascii="DejaVu Sans" w:hAnsi="DejaVu Sans" w:eastAsia="DejaVu Sans"/>
                <w:b w:val="0"/>
                <w:color w:val="1E2528"/>
                <w:sz w:val="16"/>
              </w:rPr>
            </w:r>
          </w:p>
        </w:tc>
      </w:tr>
    </w:tbl>
    <w:p>
      <w:pPr>
        <w:spacing w:after="0"/>
      </w:pPr>
    </w:p>
    <w:sectPr w:rsidR="00FC693F" w:rsidRPr="0006063C" w:rsidSect="00034616">
      <w:headerReference w:type="default" r:id="rId9"/>
      <w:footerReference w:type="default" r:id="rId10"/>
      <w:footerReference w:type="first" r:id="rId11"/>
      <w:headerReference w:type="first" r:id="rId14"/>
      <w:headerReference w:type="even" r:id="rId15"/>
      <w:footerReference w:type="even" r:id="rId16"/>
      <w:pgSz w:w="11905" w:h="16838"/>
      <w:pgMar w:top="1008" w:right="1008" w:bottom="1008" w:left="1008" w:header="432"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749" w:val="left"/>
      </w:tabs>
      <w:spacing w:before="0" w:after="0"/>
    </w:pPr>
    <w:r>
      <w:rPr>
        <w:rFonts w:ascii="DejaVu Sans" w:hAnsi="DejaVu Sans" w:eastAsia="DejaVu Sans"/>
        <w:color w:val="5D6870"/>
        <w:sz w:val="14"/>
      </w:rPr>
      <w:t>2050 - DE-DE-R1 - A4 - Stand der deutschen Ausgabe - Juli 2026</w:t>
    </w:r>
    <w:r>
      <w:tab/>
    </w:r>
    <w:r>
      <w:rPr>
        <w:rFonts w:ascii="DejaVu Sans" w:hAnsi="DejaVu Sans" w:eastAsia="DejaVu Sans"/>
        <w:color w:val="5D6870"/>
        <w:sz w:val="16"/>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DejaVu Sans" w:hAnsi="DejaVu Sans" w:eastAsia="DejaVu Sans"/>
        <w:color w:val="5D6870"/>
        <w:sz w:val="15"/>
      </w:rPr>
      <w:t>https://www.corneritaliano.com/de/2050/ressourcen/</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749" w:val="left"/>
      </w:tabs>
      <w:spacing w:before="0" w:after="0"/>
    </w:pPr>
    <w:r>
      <w:rPr>
        <w:rFonts w:ascii="DejaVu Sans" w:hAnsi="DejaVu Sans" w:eastAsia="DejaVu Sans"/>
        <w:color w:val="5D6870"/>
        <w:sz w:val="14"/>
      </w:rPr>
      <w:t>2050 - DE-DE-R1 - A4 - Stand der deutschen Ausgabe - Juli 2026</w:t>
    </w:r>
    <w:r>
      <w:tab/>
    </w:r>
    <w:r>
      <w:rPr>
        <w:rFonts w:ascii="DejaVu Sans" w:hAnsi="DejaVu Sans" w:eastAsia="DejaVu Sans"/>
        <w:color w:val="5D6870"/>
        <w:sz w:val="16"/>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DejaVu Sans" w:hAnsi="DejaVu Sans" w:eastAsia="DejaVu Sans"/>
        <w:b/>
        <w:color w:val="B54B2A"/>
        <w:sz w:val="15"/>
      </w:rPr>
      <w:t xml:space="preserve">2050  |  OFFIZIELLE RESSOURCEN  |  </w:t>
    </w:r>
    <w:r>
      <w:rPr>
        <w:rFonts w:ascii="DejaVu Sans" w:hAnsi="DejaVu Sans" w:eastAsia="DejaVu Sans"/>
        <w:color w:val="5D6870"/>
        <w:sz w:val="15"/>
      </w:rPr>
      <w:t>Fall Davide - Vollständige Akte</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DejaVu Sans" w:hAnsi="DejaVu Sans" w:eastAsia="DejaVu Sans"/>
        <w:b/>
        <w:color w:val="B54B2A"/>
        <w:sz w:val="15"/>
      </w:rPr>
      <w:t xml:space="preserve">2050  |  OFFIZIELLE RESSOURCEN  |  </w:t>
    </w:r>
    <w:r>
      <w:rPr>
        <w:rFonts w:ascii="DejaVu Sans" w:hAnsi="DejaVu Sans" w:eastAsia="DejaVu Sans"/>
        <w:color w:val="5D6870"/>
        <w:sz w:val="15"/>
      </w:rPr>
      <w:t>Fall Davide - Vollständige Akte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83" w:lineRule="auto"/>
    </w:pPr>
    <w:rPr>
      <w:rFonts w:ascii="DejaVu Sans" w:hAnsi="DejaVu Sans"/>
      <w:color w:val="1E2528"/>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DejaVu Sans" w:hAnsi="DejaVu Sans"/>
      <w:b/>
      <w:bCs/>
      <w:color w:val="123044"/>
      <w:sz w:val="34"/>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DejaVu Sans" w:hAnsi="DejaVu Sans"/>
      <w:b/>
      <w:bCs/>
      <w:color w:val="B54B2A"/>
      <w:sz w:val="25"/>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DejaVu Sans" w:hAnsi="DejaVu Sans"/>
      <w:b/>
      <w:bCs/>
      <w:color w:val="234C6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DejaVu Sans" w:hAnsi="DejaVu Sans"/>
      <w:b/>
      <w:color w:val="123044"/>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DejaVu Sans" w:hAnsi="DejaVu Sans"/>
      <w:b w:val="0"/>
      <w:i/>
      <w:iCs/>
      <w:color w:val="5D6870"/>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hyperlink" Target="https://www.corneritaliano.com/de/2050/ressourcen/" TargetMode="External"/><Relationship Id="rId14" Type="http://schemas.openxmlformats.org/officeDocument/2006/relationships/header" Target="header2.xml"/><Relationship Id="rId15" Type="http://schemas.openxmlformats.org/officeDocument/2006/relationships/header" Target="header3.xml"/><Relationship Id="rId16"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Fall Davide - Vollständige Akte</dc:title>
  <dc:subject>Ressource complémentaire officielle de 2050</dc:subject>
  <dc:creator>Corner Italiano LLC</dc:creator>
  <cp:keywords>2050, intelligence artificielle, Test 2050, ressources</cp:keywords>
  <dc:description>generated by python-docx</dc:description>
  <cp:lastModifiedBy>Corner Italiano LLC</cp:lastModifiedBy>
  <cp:revision>1</cp:revision>
  <dcterms:created xsi:type="dcterms:W3CDTF">2013-12-23T23:15:00Z</dcterms:created>
  <dcterms:modified xsi:type="dcterms:W3CDTF">2013-12-23T23:15:00Z</dcterms:modified>
  <cp:category/>
</cp:coreProperties>
</file>