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840"/>
        <w:jc w:val="center"/>
      </w:pPr>
      <w:r>
        <w:drawing>
          <wp:inline xmlns:a="http://schemas.openxmlformats.org/drawingml/2006/main" xmlns:pic="http://schemas.openxmlformats.org/drawingml/2006/picture">
            <wp:extent cx="1508760" cy="1005840"/>
            <wp:docPr id="1" name="Picture 1" descr="Logo éditorial de Corner Italiano" title="Corner Italiano"/>
            <wp:cNvGraphicFramePr>
              <a:graphicFrameLocks noChangeAspect="1"/>
            </wp:cNvGraphicFramePr>
            <a:graphic>
              <a:graphicData uri="http://schemas.openxmlformats.org/drawingml/2006/picture">
                <pic:pic>
                  <pic:nvPicPr>
                    <pic:cNvPr id="0" name="corner-italiano-logo.png"/>
                    <pic:cNvPicPr/>
                  </pic:nvPicPr>
                  <pic:blipFill>
                    <a:blip r:embed="rId12"/>
                    <a:stretch>
                      <a:fillRect/>
                    </a:stretch>
                  </pic:blipFill>
                  <pic:spPr>
                    <a:xfrm>
                      <a:off x="0" y="0"/>
                      <a:ext cx="1508760" cy="1005840"/>
                    </a:xfrm>
                    <a:prstGeom prst="rect"/>
                  </pic:spPr>
                </pic:pic>
              </a:graphicData>
            </a:graphic>
          </wp:inline>
        </w:drawing>
      </w:r>
    </w:p>
    <w:p>
      <w:pPr>
        <w:spacing w:before="520" w:after="160"/>
        <w:jc w:val="center"/>
      </w:pPr>
      <w:r>
        <w:rPr>
          <w:rFonts w:ascii="DejaVu Sans" w:hAnsi="DejaVu Sans" w:eastAsia="DejaVu Sans"/>
          <w:b/>
          <w:color w:val="B54B2A"/>
          <w:sz w:val="17"/>
        </w:rPr>
        <w:t>CORNER ITALIANO  |  OFFIZIELLE RESSOURCEN</w:t>
      </w:r>
    </w:p>
    <w:p>
      <w:pPr>
        <w:pStyle w:val="Title"/>
        <w:jc w:val="center"/>
      </w:pPr>
      <w:r>
        <w:rPr>
          <w:rFonts w:ascii="DejaVu Sans" w:hAnsi="DejaVu Sans" w:eastAsia="DejaVu Sans"/>
          <w:b/>
          <w:color w:val="123044"/>
          <w:sz w:val="56"/>
        </w:rPr>
        <w:t>Fall Davide</w:t>
      </w:r>
    </w:p>
    <w:p>
      <w:pPr>
        <w:pStyle w:val="Subtitle"/>
        <w:jc w:val="center"/>
      </w:pPr>
      <w:r>
        <w:rPr>
          <w:rFonts w:ascii="DejaVu Sans" w:hAnsi="DejaVu Sans" w:eastAsia="DejaVu Sans"/>
          <w:color w:val="5D6870"/>
          <w:sz w:val="25"/>
        </w:rPr>
        <w:t>Vollständige Akte, Ausstieg und Wiederaufnahme</w:t>
      </w:r>
    </w:p>
    <w:p>
      <w:pPr>
        <w:spacing w:before="440"/>
        <w:jc w:val="center"/>
      </w:pPr>
      <w:r>
        <w:rPr>
          <w:rFonts w:ascii="DejaVu Sans" w:hAnsi="DejaVu Sans" w:eastAsia="DejaVu Sans"/>
          <w:b/>
          <w:color w:val="B54B2A"/>
          <w:sz w:val="17"/>
        </w:rPr>
        <w:t>VOLLSTÄNDIGES BEISPIEL DES 2050-TESTS</w:t>
      </w:r>
    </w:p>
    <w:p>
      <w:pPr>
        <w:jc w:val="center"/>
      </w:pPr>
      <w:r>
        <w:rPr>
          <w:rFonts w:ascii="DejaVu Sans" w:hAnsi="DejaVu Sans" w:eastAsia="DejaVu Sans"/>
          <w:color w:val="234C61"/>
          <w:sz w:val="19"/>
        </w:rPr>
        <w:t>Stand der deutschen Ausgabe - Juli 2026 - Format US Letter (8,5 x 11 Zoll)</w:t>
      </w:r>
    </w:p>
    <w:p>
      <w:pPr>
        <w:spacing w:before="360"/>
        <w:jc w:val="center"/>
      </w:pPr>
      <w:hyperlink r:id="rId13">
        <w:r>
          <w:rPr>
            <w:rFonts w:ascii="DejaVu Sans" w:hAnsi="DejaVu Sans" w:eastAsia="DejaVu Sans"/>
            <w:color w:val="234C61"/>
            <w:u w:val="single"/>
            <w:sz w:val="18"/>
          </w:rPr>
          <w:t>https://www.corneritaliano.com/de/2050/ressourcen/</w:t>
        </w:r>
      </w:hyperlink>
    </w:p>
    <w:p>
      <w:r>
        <w:br w:type="page"/>
      </w:r>
    </w:p>
    <w:tbl>
      <w:tblPr>
        <w:tblW w:type="dxa" w:w="10224"/>
        <w:jc w:val="left"/>
        <w:tblLayout w:type="fixed"/>
        <w:tblLook w:firstColumn="1" w:firstRow="1" w:lastColumn="0" w:lastRow="0" w:noHBand="0" w:noVBand="1" w:val="04A0"/>
        <w:tblInd w:w="150" w:type="dxa"/>
        <w:tblBorders>
          <w:top w:val="single" w:sz="7" w:space="0" w:color="B54B2A"/>
          <w:left w:val="single" w:sz="7" w:space="0" w:color="B54B2A"/>
          <w:bottom w:val="single" w:sz="7" w:space="0" w:color="B54B2A"/>
          <w:right w:val="single" w:sz="7" w:space="0" w:color="B54B2A"/>
          <w:insideH w:val="single" w:sz="7" w:space="0" w:color="B54B2A"/>
          <w:insideV w:val="single" w:sz="7" w:space="0" w:color="B54B2A"/>
        </w:tblBorders>
      </w:tblPr>
      <w:tblGrid>
        <w:gridCol w:w="10224"/>
      </w:tblGrid>
      <w:tr>
        <w:trPr>
          <w:cantSplit/>
        </w:trPr>
        <w:tc>
          <w:tcPr>
            <w:tcW w:type="dxa" w:w="10224"/>
            <w:shd w:fill="F7E7E0"/>
            <w:tcMar>
              <w:top w:w="120" w:type="dxa"/>
              <w:start w:w="150" w:type="dxa"/>
              <w:bottom w:w="120" w:type="dxa"/>
              <w:end w:w="150" w:type="dxa"/>
            </w:tcMar>
          </w:tcPr>
          <w:p>
            <w:pPr>
              <w:spacing w:after="40"/>
            </w:pPr>
            <w:r>
              <w:rPr>
                <w:rFonts w:ascii="DejaVu Sans" w:hAnsi="DejaVu Sans" w:eastAsia="DejaVu Sans"/>
                <w:b/>
                <w:color w:val="B54B2A"/>
                <w:sz w:val="17"/>
              </w:rPr>
              <w:t xml:space="preserve">WIE DER FALL ZU LESEN IST  </w:t>
            </w:r>
            <w:r>
              <w:rPr>
                <w:rFonts w:ascii="DejaVu Sans" w:hAnsi="DejaVu Sans" w:eastAsia="DejaVu Sans"/>
                <w:color w:val="1E2528"/>
                <w:sz w:val="18"/>
              </w:rPr>
              <w:t>Die Akte trennt die Einstufung der Nachweislage von der organisatorischen Entscheidung. Auch wenn alle sieben Fragen dokumentiert sind, kann ein leistungsfähiges Produkt zu Nicht delegieren führen, wenn der verbleibende Nutzen Aufsicht, Abhängigkeit und Ausstieg im konkreten Kontext nicht trägt.</w:t>
            </w:r>
          </w:p>
        </w:tc>
      </w:tr>
    </w:tbl>
    <w:p>
      <w:pPr>
        <w:spacing w:after="0"/>
      </w:pPr>
    </w:p>
    <w:p>
      <w:pPr>
        <w:pStyle w:val="Heading1"/>
      </w:pPr>
      <w:r>
        <w:t>Zeitleiste des Falls</w:t>
      </w:r>
    </w:p>
    <w:tbl>
      <w:tblPr>
        <w:tblW w:type="dxa" w:w="10224"/>
        <w:jc w:val="left"/>
        <w:tblLayout w:type="fixed"/>
        <w:tblLook w:firstColumn="1" w:firstRow="1" w:lastColumn="0" w:lastRow="0" w:noHBand="0" w:noVBand="1" w:val="04A0"/>
        <w:tblInd w:w="120" w:type="dxa"/>
        <w:tblBorders>
          <w:top w:val="single" w:sz="5" w:space="0" w:color="C8D2D7"/>
          <w:left w:val="single" w:sz="5" w:space="0" w:color="C8D2D7"/>
          <w:bottom w:val="single" w:sz="5" w:space="0" w:color="C8D2D7"/>
          <w:right w:val="single" w:sz="5" w:space="0" w:color="C8D2D7"/>
          <w:insideH w:val="single" w:sz="5" w:space="0" w:color="C8D2D7"/>
          <w:insideV w:val="single" w:sz="5" w:space="0" w:color="C8D2D7"/>
        </w:tblBorders>
      </w:tblPr>
      <w:tblGrid>
        <w:gridCol w:w="2352"/>
        <w:gridCol w:w="7872"/>
      </w:tblGrid>
      <w:tr>
        <w:trPr>
          <w:tblHeader w:val="true"/>
          <w:cantSplit/>
        </w:trPr>
        <w:tc>
          <w:tcPr>
            <w:tcW w:type="dxa" w:w="2352"/>
            <w:vAlign w:val="center"/>
            <w:tcMar>
              <w:top w:w="90" w:type="dxa"/>
              <w:start w:w="120" w:type="dxa"/>
              <w:bottom w:w="90" w:type="dxa"/>
              <w:end w:w="120" w:type="dxa"/>
            </w:tcMar>
            <w:shd w:fill="123044"/>
          </w:tcPr>
          <w:p>
            <w:pPr>
              <w:spacing w:after="0" w:line="259" w:lineRule="auto"/>
            </w:pPr>
            <w:r>
              <w:rPr>
                <w:rFonts w:ascii="DejaVu Sans" w:hAnsi="DejaVu Sans" w:eastAsia="DejaVu Sans"/>
                <w:b/>
                <w:color w:val="FFFFFF"/>
                <w:sz w:val="16"/>
              </w:rPr>
              <w:t>Zeitpunkt</w:t>
            </w:r>
          </w:p>
        </w:tc>
        <w:tc>
          <w:tcPr>
            <w:tcW w:type="dxa" w:w="7872"/>
            <w:vAlign w:val="center"/>
            <w:tcMar>
              <w:top w:w="90" w:type="dxa"/>
              <w:start w:w="120" w:type="dxa"/>
              <w:bottom w:w="90" w:type="dxa"/>
              <w:end w:w="120" w:type="dxa"/>
            </w:tcMar>
            <w:shd w:fill="123044"/>
          </w:tcPr>
          <w:p>
            <w:pPr>
              <w:spacing w:after="0" w:line="259" w:lineRule="auto"/>
            </w:pPr>
            <w:r>
              <w:rPr>
                <w:rFonts w:ascii="DejaVu Sans" w:hAnsi="DejaVu Sans" w:eastAsia="DejaVu Sans"/>
                <w:b/>
                <w:color w:val="FFFFFF"/>
                <w:sz w:val="16"/>
              </w:rPr>
              <w:t>Nachweis und Entscheidung</w:t>
            </w:r>
          </w:p>
        </w:tc>
      </w:tr>
      <w:tr>
        <w:trPr>
          <w:cantSplit/>
        </w:trPr>
        <w:tc>
          <w:tcPr>
            <w:tcW w:type="dxa" w:w="2352"/>
            <w:vAlign w:val="center"/>
            <w:tcMar>
              <w:top w:w="90" w:type="dxa"/>
              <w:start w:w="120" w:type="dxa"/>
              <w:bottom w:w="90" w:type="dxa"/>
              <w:end w:w="120" w:type="dxa"/>
            </w:tcMar>
          </w:tcPr>
          <w:p>
            <w:pPr>
              <w:spacing w:after="0" w:line="259" w:lineRule="auto"/>
            </w:pPr>
            <w:r>
              <w:rPr>
                <w:rFonts w:ascii="DejaVu Sans" w:hAnsi="DejaVu Sans" w:eastAsia="DejaVu Sans"/>
                <w:b/>
                <w:color w:val="1E2528"/>
                <w:sz w:val="16"/>
              </w:rPr>
              <w:t>Vor dem Pilotprojekt</w:t>
            </w:r>
          </w:p>
        </w:tc>
        <w:tc>
          <w:tcPr>
            <w:tcW w:type="dxa" w:w="7872"/>
            <w:vAlign w:val="center"/>
            <w:tcMar>
              <w:top w:w="90" w:type="dxa"/>
              <w:start w:w="120" w:type="dxa"/>
              <w:bottom w:w="90" w:type="dxa"/>
              <w:end w:w="120" w:type="dxa"/>
            </w:tcMar>
          </w:tcPr>
          <w:p>
            <w:pPr>
              <w:spacing w:after="0" w:line="259" w:lineRule="auto"/>
            </w:pPr>
            <w:r>
              <w:rPr>
                <w:rFonts w:ascii="DejaVu Sans" w:hAnsi="DejaVu Sans" w:eastAsia="DejaVu Sans"/>
                <w:b w:val="0"/>
                <w:color w:val="1E2528"/>
                <w:sz w:val="16"/>
              </w:rPr>
              <w:t>Der Ausstiegstest scheitert: Die Register sind lesbar, doch Konfigurationen und Berechtigungen lassen sich nicht rekonstruieren. Das Pilotprojekt beginnt nicht.</w:t>
            </w:r>
          </w:p>
        </w:tc>
      </w:tr>
      <w:tr>
        <w:trPr>
          <w:cantSplit/>
        </w:trPr>
        <w:tc>
          <w:tcPr>
            <w:tcW w:type="dxa" w:w="2352"/>
            <w:vAlign w:val="center"/>
            <w:tcMar>
              <w:top w:w="90" w:type="dxa"/>
              <w:start w:w="120" w:type="dxa"/>
              <w:bottom w:w="90" w:type="dxa"/>
              <w:end w:w="120" w:type="dxa"/>
            </w:tcMar>
            <w:shd w:fill="EFF2F3"/>
          </w:tcPr>
          <w:p>
            <w:pPr>
              <w:spacing w:after="0" w:line="259" w:lineRule="auto"/>
            </w:pPr>
            <w:r>
              <w:rPr>
                <w:rFonts w:ascii="DejaVu Sans" w:hAnsi="DejaVu Sans" w:eastAsia="DejaVu Sans"/>
                <w:b/>
                <w:color w:val="1E2528"/>
                <w:sz w:val="16"/>
              </w:rPr>
              <w:t>Zweiter Ausstiegstest</w:t>
            </w:r>
          </w:p>
        </w:tc>
        <w:tc>
          <w:tcPr>
            <w:tcW w:type="dxa" w:w="7872"/>
            <w:vAlign w:val="center"/>
            <w:tcMar>
              <w:top w:w="90" w:type="dxa"/>
              <w:start w:w="120" w:type="dxa"/>
              <w:bottom w:w="90" w:type="dxa"/>
              <w:end w:w="120" w:type="dxa"/>
            </w:tcMar>
            <w:shd w:fill="EFF2F3"/>
          </w:tcPr>
          <w:p>
            <w:pPr>
              <w:spacing w:after="0" w:line="259" w:lineRule="auto"/>
            </w:pPr>
            <w:r>
              <w:rPr>
                <w:rFonts w:ascii="DejaVu Sans" w:hAnsi="DejaVu Sans" w:eastAsia="DejaVu Sans"/>
                <w:b w:val="0"/>
                <w:color w:val="1E2528"/>
                <w:sz w:val="16"/>
              </w:rPr>
              <w:t>Das Team öffnet einen Fall in einer getrennten Umgebung erneut, weist Berechtigungen neu zu und arbeitet ohne den Hauptdienst weiter.</w:t>
            </w:r>
          </w:p>
        </w:tc>
      </w:tr>
      <w:tr>
        <w:trPr>
          <w:cantSplit/>
        </w:trPr>
        <w:tc>
          <w:tcPr>
            <w:tcW w:type="dxa" w:w="2352"/>
            <w:vAlign w:val="center"/>
            <w:tcMar>
              <w:top w:w="90" w:type="dxa"/>
              <w:start w:w="120" w:type="dxa"/>
              <w:bottom w:w="90" w:type="dxa"/>
              <w:end w:w="120" w:type="dxa"/>
            </w:tcMar>
          </w:tcPr>
          <w:p>
            <w:pPr>
              <w:spacing w:after="0" w:line="259" w:lineRule="auto"/>
            </w:pPr>
            <w:r>
              <w:rPr>
                <w:rFonts w:ascii="DejaVu Sans" w:hAnsi="DejaVu Sans" w:eastAsia="DejaVu Sans"/>
                <w:b/>
                <w:color w:val="1E2528"/>
                <w:sz w:val="16"/>
              </w:rPr>
              <w:t>Start</w:t>
            </w:r>
          </w:p>
        </w:tc>
        <w:tc>
          <w:tcPr>
            <w:tcW w:type="dxa" w:w="7872"/>
            <w:vAlign w:val="center"/>
            <w:tcMar>
              <w:top w:w="90" w:type="dxa"/>
              <w:start w:w="120" w:type="dxa"/>
              <w:bottom w:w="90" w:type="dxa"/>
              <w:end w:w="120" w:type="dxa"/>
            </w:tcMar>
          </w:tcPr>
          <w:p>
            <w:pPr>
              <w:spacing w:after="0" w:line="259" w:lineRule="auto"/>
            </w:pPr>
            <w:r>
              <w:rPr>
                <w:rFonts w:ascii="DejaVu Sans" w:hAnsi="DejaVu Sans" w:eastAsia="DejaVu Sans"/>
                <w:b w:val="0"/>
                <w:color w:val="1E2528"/>
                <w:sz w:val="16"/>
              </w:rPr>
              <w:t>Entscheidung: neunzig Tage Begrenzen und erproben, zunächst im Schattenbetrieb und anschließend ausschließlich im Modus Schlägt vor; keine autonome Ausführung.</w:t>
            </w:r>
          </w:p>
        </w:tc>
      </w:tr>
      <w:tr>
        <w:trPr>
          <w:cantSplit/>
        </w:trPr>
        <w:tc>
          <w:tcPr>
            <w:tcW w:type="dxa" w:w="2352"/>
            <w:vAlign w:val="center"/>
            <w:tcMar>
              <w:top w:w="90" w:type="dxa"/>
              <w:start w:w="120" w:type="dxa"/>
              <w:bottom w:w="90" w:type="dxa"/>
              <w:end w:w="120" w:type="dxa"/>
            </w:tcMar>
            <w:shd w:fill="EFF2F3"/>
          </w:tcPr>
          <w:p>
            <w:pPr>
              <w:spacing w:after="0" w:line="259" w:lineRule="auto"/>
            </w:pPr>
            <w:r>
              <w:rPr>
                <w:rFonts w:ascii="DejaVu Sans" w:hAnsi="DejaVu Sans" w:eastAsia="DejaVu Sans"/>
                <w:b/>
                <w:color w:val="1E2528"/>
                <w:sz w:val="16"/>
              </w:rPr>
              <w:t>Während des Pilotprojekts</w:t>
            </w:r>
          </w:p>
        </w:tc>
        <w:tc>
          <w:tcPr>
            <w:tcW w:type="dxa" w:w="7872"/>
            <w:vAlign w:val="center"/>
            <w:tcMar>
              <w:top w:w="90" w:type="dxa"/>
              <w:start w:w="120" w:type="dxa"/>
              <w:bottom w:w="90" w:type="dxa"/>
              <w:end w:w="120" w:type="dxa"/>
            </w:tcMar>
            <w:shd w:fill="EFF2F3"/>
          </w:tcPr>
          <w:p>
            <w:pPr>
              <w:spacing w:after="0" w:line="259" w:lineRule="auto"/>
            </w:pPr>
            <w:r>
              <w:rPr>
                <w:rFonts w:ascii="DejaVu Sans" w:hAnsi="DejaVu Sans" w:eastAsia="DejaVu Sans"/>
                <w:b w:val="0"/>
                <w:color w:val="1E2528"/>
                <w:sz w:val="16"/>
              </w:rPr>
              <w:t>Das System findet nützliche Präzedenzfälle. Ein plausibler Fehler übernimmt eine Klausel ohne die vereinbarte Begrenzung. Kein Vertrag wird versandt.</w:t>
            </w:r>
          </w:p>
        </w:tc>
      </w:tr>
      <w:tr>
        <w:trPr>
          <w:cantSplit/>
        </w:trPr>
        <w:tc>
          <w:tcPr>
            <w:tcW w:type="dxa" w:w="2352"/>
            <w:vAlign w:val="center"/>
            <w:tcMar>
              <w:top w:w="90" w:type="dxa"/>
              <w:start w:w="120" w:type="dxa"/>
              <w:bottom w:w="90" w:type="dxa"/>
              <w:end w:w="120" w:type="dxa"/>
            </w:tcMar>
          </w:tcPr>
          <w:p>
            <w:pPr>
              <w:spacing w:after="0" w:line="259" w:lineRule="auto"/>
            </w:pPr>
            <w:r>
              <w:rPr>
                <w:rFonts w:ascii="DejaVu Sans" w:hAnsi="DejaVu Sans" w:eastAsia="DejaVu Sans"/>
                <w:b/>
                <w:color w:val="1E2528"/>
                <w:sz w:val="16"/>
              </w:rPr>
              <w:t>15. Oktober 2050</w:t>
            </w:r>
          </w:p>
        </w:tc>
        <w:tc>
          <w:tcPr>
            <w:tcW w:type="dxa" w:w="7872"/>
            <w:vAlign w:val="center"/>
            <w:tcMar>
              <w:top w:w="90" w:type="dxa"/>
              <w:start w:w="120" w:type="dxa"/>
              <w:bottom w:w="90" w:type="dxa"/>
              <w:end w:w="120" w:type="dxa"/>
            </w:tcMar>
          </w:tcPr>
          <w:p>
            <w:pPr>
              <w:spacing w:after="0" w:line="259" w:lineRule="auto"/>
            </w:pPr>
            <w:r>
              <w:rPr>
                <w:rFonts w:ascii="DejaVu Sans" w:hAnsi="DejaVu Sans" w:eastAsia="DejaVu Sans"/>
                <w:b w:val="0"/>
                <w:color w:val="1E2528"/>
                <w:sz w:val="16"/>
              </w:rPr>
              <w:t>Nach Aufsicht, Schulung, Lernen und Ausstieg bleibt der Nettonutzen bescheiden und unregelmäßig. Entscheidung: Nicht delegieren.</w:t>
            </w:r>
          </w:p>
        </w:tc>
      </w:tr>
      <w:tr>
        <w:trPr>
          <w:cantSplit/>
        </w:trPr>
        <w:tc>
          <w:tcPr>
            <w:tcW w:type="dxa" w:w="2352"/>
            <w:vAlign w:val="center"/>
            <w:tcMar>
              <w:top w:w="90" w:type="dxa"/>
              <w:start w:w="120" w:type="dxa"/>
              <w:bottom w:w="90" w:type="dxa"/>
              <w:end w:w="120" w:type="dxa"/>
            </w:tcMar>
            <w:shd w:fill="EFF2F3"/>
          </w:tcPr>
          <w:p>
            <w:pPr>
              <w:spacing w:after="0" w:line="259" w:lineRule="auto"/>
            </w:pPr>
            <w:r>
              <w:rPr>
                <w:rFonts w:ascii="DejaVu Sans" w:hAnsi="DejaVu Sans" w:eastAsia="DejaVu Sans"/>
                <w:b/>
                <w:color w:val="1E2528"/>
                <w:sz w:val="16"/>
              </w:rPr>
              <w:t>16. Oktober 2050</w:t>
            </w:r>
          </w:p>
        </w:tc>
        <w:tc>
          <w:tcPr>
            <w:tcW w:type="dxa" w:w="7872"/>
            <w:vAlign w:val="center"/>
            <w:tcMar>
              <w:top w:w="90" w:type="dxa"/>
              <w:start w:w="120" w:type="dxa"/>
              <w:bottom w:w="90" w:type="dxa"/>
              <w:end w:w="120" w:type="dxa"/>
            </w:tcMar>
            <w:shd w:fill="EFF2F3"/>
          </w:tcPr>
          <w:p>
            <w:pPr>
              <w:spacing w:after="0" w:line="259" w:lineRule="auto"/>
            </w:pPr>
            <w:r>
              <w:rPr>
                <w:rFonts w:ascii="DejaVu Sans" w:hAnsi="DejaVu Sans" w:eastAsia="DejaVu Sans"/>
                <w:b w:val="0"/>
                <w:color w:val="1E2528"/>
                <w:sz w:val="16"/>
              </w:rPr>
              <w:t>Das Register dokumentiert auch die Kosten des Neins: wartende Angebote, nicht abrechenbare Stunden, Restzahlung an den Anbieter und einen verlorenen Kunden.</w:t>
            </w:r>
          </w:p>
        </w:tc>
      </w:tr>
      <w:tr>
        <w:trPr>
          <w:cantSplit/>
        </w:trPr>
        <w:tc>
          <w:tcPr>
            <w:tcW w:type="dxa" w:w="2352"/>
            <w:vAlign w:val="center"/>
            <w:tcMar>
              <w:top w:w="90" w:type="dxa"/>
              <w:start w:w="120" w:type="dxa"/>
              <w:bottom w:w="90" w:type="dxa"/>
              <w:end w:w="120" w:type="dxa"/>
            </w:tcMar>
          </w:tcPr>
          <w:p>
            <w:pPr>
              <w:spacing w:after="0" w:line="259" w:lineRule="auto"/>
            </w:pPr>
            <w:r>
              <w:rPr>
                <w:rFonts w:ascii="DejaVu Sans" w:hAnsi="DejaVu Sans" w:eastAsia="DejaVu Sans"/>
                <w:b/>
                <w:color w:val="1E2528"/>
                <w:sz w:val="16"/>
              </w:rPr>
              <w:t>Abschluss</w:t>
            </w:r>
          </w:p>
        </w:tc>
        <w:tc>
          <w:tcPr>
            <w:tcW w:type="dxa" w:w="7872"/>
            <w:vAlign w:val="center"/>
            <w:tcMar>
              <w:top w:w="90" w:type="dxa"/>
              <w:start w:w="120" w:type="dxa"/>
              <w:bottom w:w="90" w:type="dxa"/>
              <w:end w:w="120" w:type="dxa"/>
            </w:tcMar>
          </w:tcPr>
          <w:p>
            <w:pPr>
              <w:spacing w:after="0" w:line="259" w:lineRule="auto"/>
            </w:pPr>
            <w:r>
              <w:rPr>
                <w:rFonts w:ascii="DejaVu Sans" w:hAnsi="DejaVu Sans" w:eastAsia="DejaVu Sans"/>
                <w:b w:val="0"/>
                <w:color w:val="1E2528"/>
                <w:sz w:val="16"/>
              </w:rPr>
              <w:t>Abschließender Export, Entzug der Zugriffe und zufällige Wiederaufnahme eines Falls ohne Hilfe des Anbieters.</w:t>
            </w:r>
          </w:p>
        </w:tc>
      </w:tr>
      <w:tr>
        <w:trPr>
          <w:cantSplit/>
        </w:trPr>
        <w:tc>
          <w:tcPr>
            <w:tcW w:type="dxa" w:w="2352"/>
            <w:vAlign w:val="center"/>
            <w:tcMar>
              <w:top w:w="90" w:type="dxa"/>
              <w:start w:w="120" w:type="dxa"/>
              <w:bottom w:w="90" w:type="dxa"/>
              <w:end w:w="120" w:type="dxa"/>
            </w:tcMar>
            <w:shd w:fill="EFF2F3"/>
          </w:tcPr>
          <w:p>
            <w:pPr>
              <w:spacing w:after="0" w:line="259" w:lineRule="auto"/>
            </w:pPr>
            <w:r>
              <w:rPr>
                <w:rFonts w:ascii="DejaVu Sans" w:hAnsi="DejaVu Sans" w:eastAsia="DejaVu Sans"/>
                <w:b/>
                <w:color w:val="1E2528"/>
                <w:sz w:val="16"/>
              </w:rPr>
              <w:t>15. April 2051</w:t>
            </w:r>
          </w:p>
        </w:tc>
        <w:tc>
          <w:tcPr>
            <w:tcW w:type="dxa" w:w="7872"/>
            <w:vAlign w:val="center"/>
            <w:tcMar>
              <w:top w:w="90" w:type="dxa"/>
              <w:start w:w="120" w:type="dxa"/>
              <w:bottom w:w="90" w:type="dxa"/>
              <w:end w:w="120" w:type="dxa"/>
            </w:tcMar>
            <w:shd w:fill="EFF2F3"/>
          </w:tcPr>
          <w:p>
            <w:pPr>
              <w:spacing w:after="0" w:line="259" w:lineRule="auto"/>
            </w:pPr>
            <w:r>
              <w:rPr>
                <w:rFonts w:ascii="DejaVu Sans" w:hAnsi="DejaVu Sans" w:eastAsia="DejaVu Sans"/>
                <w:b w:val="0"/>
                <w:color w:val="1E2528"/>
                <w:sz w:val="16"/>
              </w:rPr>
              <w:t>Wiederaufnahme für einen enger gefassten Vorschlag: nur Suche nach Präzedenzfällen, geschlossene Akten, Schattenbetrieb, keine Außenwirkung und die dauerhafte Möglichkeit, erneut Nein zu sagen.</w:t>
            </w:r>
          </w:p>
        </w:tc>
      </w:tr>
    </w:tbl>
    <w:p>
      <w:pPr>
        <w:spacing w:after="0"/>
      </w:pPr>
    </w:p>
    <w:p>
      <w:pPr>
        <w:pStyle w:val="Heading1"/>
      </w:pPr>
      <w:r>
        <w:t>Akte zum 15. Oktober 2050</w:t>
      </w:r>
    </w:p>
    <w:tbl>
      <w:tblPr>
        <w:tblW w:type="dxa" w:w="10224"/>
        <w:jc w:val="left"/>
        <w:tblLayout w:type="fixed"/>
        <w:tblLook w:firstColumn="1" w:firstRow="1" w:lastColumn="0" w:lastRow="0" w:noHBand="0" w:noVBand="1" w:val="04A0"/>
        <w:tblInd w:w="120" w:type="dxa"/>
        <w:tblBorders>
          <w:top w:val="single" w:sz="5" w:space="0" w:color="C8D2D7"/>
          <w:left w:val="single" w:sz="5" w:space="0" w:color="C8D2D7"/>
          <w:bottom w:val="single" w:sz="5" w:space="0" w:color="C8D2D7"/>
          <w:right w:val="single" w:sz="5" w:space="0" w:color="C8D2D7"/>
          <w:insideH w:val="single" w:sz="5" w:space="0" w:color="C8D2D7"/>
          <w:insideV w:val="single" w:sz="5" w:space="0" w:color="C8D2D7"/>
        </w:tblBorders>
      </w:tblPr>
      <w:tblGrid>
        <w:gridCol w:w="2863"/>
        <w:gridCol w:w="7361"/>
      </w:tblGrid>
      <w:tr>
        <w:trPr>
          <w:tblHeader w:val="true"/>
          <w:cantSplit/>
        </w:trPr>
        <w:tc>
          <w:tcPr>
            <w:tcW w:type="dxa" w:w="2863"/>
            <w:vAlign w:val="center"/>
            <w:tcMar>
              <w:top w:w="65" w:type="dxa"/>
              <w:start w:w="120" w:type="dxa"/>
              <w:bottom w:w="65" w:type="dxa"/>
              <w:end w:w="120" w:type="dxa"/>
            </w:tcMar>
            <w:shd w:fill="123044"/>
          </w:tcPr>
          <w:p>
            <w:pPr>
              <w:spacing w:after="0" w:line="240" w:lineRule="auto"/>
            </w:pPr>
            <w:r>
              <w:rPr>
                <w:rFonts w:ascii="DejaVu Sans" w:hAnsi="DejaVu Sans" w:eastAsia="DejaVu Sans"/>
                <w:b/>
                <w:color w:val="FFFFFF"/>
                <w:sz w:val="15"/>
              </w:rPr>
              <w:t>Feld</w:t>
            </w:r>
          </w:p>
        </w:tc>
        <w:tc>
          <w:tcPr>
            <w:tcW w:type="dxa" w:w="7361"/>
            <w:vAlign w:val="center"/>
            <w:tcMar>
              <w:top w:w="65" w:type="dxa"/>
              <w:start w:w="120" w:type="dxa"/>
              <w:bottom w:w="65" w:type="dxa"/>
              <w:end w:w="120" w:type="dxa"/>
            </w:tcMar>
            <w:shd w:fill="123044"/>
          </w:tcPr>
          <w:p>
            <w:pPr>
              <w:spacing w:after="0" w:line="240" w:lineRule="auto"/>
            </w:pPr>
            <w:r>
              <w:rPr>
                <w:rFonts w:ascii="DejaVu Sans" w:hAnsi="DejaVu Sans" w:eastAsia="DejaVu Sans"/>
                <w:b/>
                <w:color w:val="FFFFFF"/>
                <w:sz w:val="15"/>
              </w:rPr>
              <w:t>Dokumentation zum 15. Oktober 2050</w:t>
            </w:r>
          </w:p>
        </w:tc>
      </w:tr>
      <w:tr>
        <w:trPr>
          <w:cantSplit/>
        </w:trPr>
        <w:tc>
          <w:tcPr>
            <w:tcW w:type="dxa" w:w="2863"/>
            <w:vAlign w:val="center"/>
            <w:tcMar>
              <w:top w:w="65" w:type="dxa"/>
              <w:start w:w="120" w:type="dxa"/>
              <w:bottom w:w="65" w:type="dxa"/>
              <w:end w:w="120" w:type="dxa"/>
            </w:tcMar>
          </w:tcPr>
          <w:p>
            <w:pPr>
              <w:spacing w:after="0" w:line="240" w:lineRule="auto"/>
            </w:pPr>
            <w:r>
              <w:rPr>
                <w:rFonts w:ascii="DejaVu Sans" w:hAnsi="DejaVu Sans" w:eastAsia="DejaVu Sans"/>
                <w:b/>
                <w:color w:val="1E2528"/>
                <w:sz w:val="15"/>
              </w:rPr>
              <w:t>System und Entscheidung</w:t>
            </w:r>
          </w:p>
        </w:tc>
        <w:tc>
          <w:tcPr>
            <w:tcW w:type="dxa" w:w="7361"/>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5"/>
              </w:rPr>
              <w:t>Operativer Zwilling für die Vertragsarbeit. Entscheidung über eine mögliche Einführung nach einem neunzig Tage dauernden Pilotprojekt, zunächst im Schattenbetrieb und danach, falls die Nachweise tragen, im Modus Schlägt vor.</w:t>
            </w:r>
          </w:p>
        </w:tc>
      </w:tr>
      <w:tr>
        <w:trPr>
          <w:cantSplit/>
        </w:trPr>
        <w:tc>
          <w:tcPr>
            <w:tcW w:type="dxa" w:w="2863"/>
            <w:vAlign w:val="center"/>
            <w:tcMar>
              <w:top w:w="65" w:type="dxa"/>
              <w:start w:w="120" w:type="dxa"/>
              <w:bottom w:w="65" w:type="dxa"/>
              <w:end w:w="120" w:type="dxa"/>
            </w:tcMar>
            <w:shd w:fill="EFF2F3"/>
          </w:tcPr>
          <w:p>
            <w:pPr>
              <w:spacing w:after="0" w:line="240" w:lineRule="auto"/>
            </w:pPr>
            <w:r>
              <w:rPr>
                <w:rFonts w:ascii="DejaVu Sans" w:hAnsi="DejaVu Sans" w:eastAsia="DejaVu Sans"/>
                <w:b/>
                <w:color w:val="1E2528"/>
                <w:sz w:val="15"/>
              </w:rPr>
              <w:t>Kontext und betroffene Personen</w:t>
            </w:r>
          </w:p>
        </w:tc>
        <w:tc>
          <w:tcPr>
            <w:tcW w:type="dxa" w:w="7361"/>
            <w:vAlign w:val="center"/>
            <w:tcMar>
              <w:top w:w="65" w:type="dxa"/>
              <w:start w:w="120" w:type="dxa"/>
              <w:bottom w:w="65" w:type="dxa"/>
              <w:end w:w="120" w:type="dxa"/>
            </w:tcMar>
            <w:shd w:fill="EFF2F3"/>
          </w:tcPr>
          <w:p>
            <w:pPr>
              <w:spacing w:after="0" w:line="240" w:lineRule="auto"/>
            </w:pPr>
            <w:r>
              <w:rPr>
                <w:rFonts w:ascii="DejaVu Sans" w:hAnsi="DejaVu Sans" w:eastAsia="DejaVu Sans"/>
                <w:b w:val="0"/>
                <w:color w:val="1E2528"/>
                <w:sz w:val="15"/>
              </w:rPr>
              <w:t>Davides kleines Unternehmen; die Vertragsverantwortliche; eine jüngere Kollegin in der Ausbildung; der Vertriebsleiter; Kundschaft und Vertragsparteien, die durch Angebote gebunden werden.</w:t>
            </w:r>
          </w:p>
        </w:tc>
      </w:tr>
      <w:tr>
        <w:trPr>
          <w:cantSplit/>
        </w:trPr>
        <w:tc>
          <w:tcPr>
            <w:tcW w:type="dxa" w:w="2863"/>
            <w:vAlign w:val="center"/>
            <w:tcMar>
              <w:top w:w="65" w:type="dxa"/>
              <w:start w:w="120" w:type="dxa"/>
              <w:bottom w:w="65" w:type="dxa"/>
              <w:end w:w="120" w:type="dxa"/>
            </w:tcMar>
          </w:tcPr>
          <w:p>
            <w:pPr>
              <w:spacing w:after="0" w:line="240" w:lineRule="auto"/>
            </w:pPr>
            <w:r>
              <w:rPr>
                <w:rFonts w:ascii="DejaVu Sans" w:hAnsi="DejaVu Sans" w:eastAsia="DejaVu Sans"/>
                <w:b/>
                <w:color w:val="1E2528"/>
                <w:sz w:val="15"/>
              </w:rPr>
              <w:t>Zweck - Ausreichend</w:t>
            </w:r>
          </w:p>
        </w:tc>
        <w:tc>
          <w:tcPr>
            <w:tcW w:type="dxa" w:w="7361"/>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5"/>
              </w:rPr>
              <w:t>Rückstand und Vorbereitungszeit verringern, ohne häufiger Ausnahmen zu übersehen, Korrekturen zu verspäten oder unverstandene Verpflichtungen einzugehen. Die organisatorische Alternative wird am selben Bedarf gemessen.</w:t>
            </w:r>
          </w:p>
        </w:tc>
      </w:tr>
      <w:tr>
        <w:trPr>
          <w:cantSplit/>
        </w:trPr>
        <w:tc>
          <w:tcPr>
            <w:tcW w:type="dxa" w:w="2863"/>
            <w:vAlign w:val="center"/>
            <w:tcMar>
              <w:top w:w="65" w:type="dxa"/>
              <w:start w:w="120" w:type="dxa"/>
              <w:bottom w:w="65" w:type="dxa"/>
              <w:end w:w="120" w:type="dxa"/>
            </w:tcMar>
            <w:shd w:fill="EFF2F3"/>
          </w:tcPr>
          <w:p>
            <w:pPr>
              <w:spacing w:after="0" w:line="240" w:lineRule="auto"/>
            </w:pPr>
            <w:r>
              <w:rPr>
                <w:rFonts w:ascii="DejaVu Sans" w:hAnsi="DejaVu Sans" w:eastAsia="DejaVu Sans"/>
                <w:b/>
                <w:color w:val="1E2528"/>
                <w:sz w:val="15"/>
              </w:rPr>
              <w:t>Mandat - Ausreichend</w:t>
            </w:r>
          </w:p>
        </w:tc>
        <w:tc>
          <w:tcPr>
            <w:tcW w:type="dxa" w:w="7361"/>
            <w:vAlign w:val="center"/>
            <w:tcMar>
              <w:top w:w="65" w:type="dxa"/>
              <w:start w:w="120" w:type="dxa"/>
              <w:bottom w:w="65" w:type="dxa"/>
              <w:end w:w="120" w:type="dxa"/>
            </w:tcMar>
            <w:shd w:fill="EFF2F3"/>
          </w:tcPr>
          <w:p>
            <w:pPr>
              <w:spacing w:after="0" w:line="240" w:lineRule="auto"/>
            </w:pPr>
            <w:r>
              <w:rPr>
                <w:rFonts w:ascii="DejaVu Sans" w:hAnsi="DejaVu Sans" w:eastAsia="DejaVu Sans"/>
                <w:b w:val="0"/>
                <w:color w:val="1E2528"/>
                <w:sz w:val="15"/>
              </w:rPr>
              <w:t>Der Zwilling vergleicht Präzedenzfälle, markiert Abweichungen und formuliert Alternativen. Er nutzt weder Entscheidet noch Führt aus: Er versendet und unterzeichnet nichts; Dienstpläne, Preise, Personal und vertragliche Verpflichtungen bleiben ausgeschlossen. Jede Aufsichtsperson verfolgt höchstens zwölf offene Vorgänge - ein Szenarioschwellenwert, der unter realer Last erneut zu prüfen ist.</w:t>
            </w:r>
          </w:p>
        </w:tc>
      </w:tr>
      <w:tr>
        <w:trPr>
          <w:cantSplit/>
        </w:trPr>
        <w:tc>
          <w:tcPr>
            <w:tcW w:type="dxa" w:w="2863"/>
            <w:vAlign w:val="center"/>
            <w:tcMar>
              <w:top w:w="65" w:type="dxa"/>
              <w:start w:w="120" w:type="dxa"/>
              <w:bottom w:w="65" w:type="dxa"/>
              <w:end w:w="120" w:type="dxa"/>
            </w:tcMar>
          </w:tcPr>
          <w:p>
            <w:pPr>
              <w:spacing w:after="0" w:line="240" w:lineRule="auto"/>
            </w:pPr>
            <w:r>
              <w:rPr>
                <w:rFonts w:ascii="DejaVu Sans" w:hAnsi="DejaVu Sans" w:eastAsia="DejaVu Sans"/>
                <w:b/>
                <w:color w:val="1E2528"/>
                <w:sz w:val="15"/>
              </w:rPr>
              <w:t>Nachweis - Ausreichend</w:t>
            </w:r>
          </w:p>
        </w:tc>
        <w:tc>
          <w:tcPr>
            <w:tcW w:type="dxa" w:w="7361"/>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5"/>
              </w:rPr>
              <w:t>Geschlossene Akten mit kostspieligen Ausnahmen, Nutzung im Schattenbetrieb, späterer Wechsel zu Schlägt vor, simulierter Störfall und reale Arbeitslast. Das System findet viele nützliche Präzedenzfälle und macht am entscheidenden Punkt einen plausiblen Fehler; der Nutzen ist real, bescheiden und unregelmäßig.</w:t>
            </w:r>
          </w:p>
        </w:tc>
      </w:tr>
    </w:tbl>
    <w:p>
      <w:pPr>
        <w:spacing w:after="0"/>
      </w:pPr>
    </w:p>
    <w:p>
      <w:r>
        <w:br w:type="page"/>
      </w:r>
    </w:p>
    <w:p>
      <w:pPr>
        <w:pStyle w:val="Heading1"/>
      </w:pPr>
      <w:r>
        <w:t>Akte zum 15. Oktober 2050 - Fortsetzung</w:t>
      </w:r>
    </w:p>
    <w:tbl>
      <w:tblPr>
        <w:tblW w:type="dxa" w:w="10224"/>
        <w:jc w:val="left"/>
        <w:tblLayout w:type="fixed"/>
        <w:tblLook w:firstColumn="1" w:firstRow="1" w:lastColumn="0" w:lastRow="0" w:noHBand="0" w:noVBand="1" w:val="04A0"/>
        <w:tblInd w:w="120" w:type="dxa"/>
        <w:tblBorders>
          <w:top w:val="single" w:sz="5" w:space="0" w:color="C8D2D7"/>
          <w:left w:val="single" w:sz="5" w:space="0" w:color="C8D2D7"/>
          <w:bottom w:val="single" w:sz="5" w:space="0" w:color="C8D2D7"/>
          <w:right w:val="single" w:sz="5" w:space="0" w:color="C8D2D7"/>
          <w:insideH w:val="single" w:sz="5" w:space="0" w:color="C8D2D7"/>
          <w:insideV w:val="single" w:sz="5" w:space="0" w:color="C8D2D7"/>
        </w:tblBorders>
      </w:tblPr>
      <w:tblGrid>
        <w:gridCol w:w="2863"/>
        <w:gridCol w:w="7361"/>
      </w:tblGrid>
      <w:tr>
        <w:trPr>
          <w:tblHeader w:val="true"/>
          <w:cantSplit/>
        </w:trPr>
        <w:tc>
          <w:tcPr>
            <w:tcW w:type="dxa" w:w="2863"/>
            <w:vAlign w:val="center"/>
            <w:tcMar>
              <w:top w:w="65" w:type="dxa"/>
              <w:start w:w="120" w:type="dxa"/>
              <w:bottom w:w="65" w:type="dxa"/>
              <w:end w:w="120" w:type="dxa"/>
            </w:tcMar>
            <w:shd w:fill="123044"/>
          </w:tcPr>
          <w:p>
            <w:pPr>
              <w:spacing w:after="0" w:line="240" w:lineRule="auto"/>
            </w:pPr>
            <w:r>
              <w:rPr>
                <w:rFonts w:ascii="DejaVu Sans" w:hAnsi="DejaVu Sans" w:eastAsia="DejaVu Sans"/>
                <w:b/>
                <w:color w:val="FFFFFF"/>
                <w:sz w:val="15"/>
              </w:rPr>
              <w:t>Feld</w:t>
            </w:r>
          </w:p>
        </w:tc>
        <w:tc>
          <w:tcPr>
            <w:tcW w:type="dxa" w:w="7361"/>
            <w:vAlign w:val="center"/>
            <w:tcMar>
              <w:top w:w="65" w:type="dxa"/>
              <w:start w:w="120" w:type="dxa"/>
              <w:bottom w:w="65" w:type="dxa"/>
              <w:end w:w="120" w:type="dxa"/>
            </w:tcMar>
            <w:shd w:fill="123044"/>
          </w:tcPr>
          <w:p>
            <w:pPr>
              <w:spacing w:after="0" w:line="240" w:lineRule="auto"/>
            </w:pPr>
            <w:r>
              <w:rPr>
                <w:rFonts w:ascii="DejaVu Sans" w:hAnsi="DejaVu Sans" w:eastAsia="DejaVu Sans"/>
                <w:b/>
                <w:color w:val="FFFFFF"/>
                <w:sz w:val="15"/>
              </w:rPr>
              <w:t>Dokumentation zum 15. Oktober 2050</w:t>
            </w:r>
          </w:p>
        </w:tc>
      </w:tr>
      <w:tr>
        <w:trPr>
          <w:cantSplit/>
        </w:trPr>
        <w:tc>
          <w:tcPr>
            <w:tcW w:type="dxa" w:w="2863"/>
            <w:vAlign w:val="center"/>
            <w:tcMar>
              <w:top w:w="65" w:type="dxa"/>
              <w:start w:w="120" w:type="dxa"/>
              <w:bottom w:w="65" w:type="dxa"/>
              <w:end w:w="120" w:type="dxa"/>
            </w:tcMar>
          </w:tcPr>
          <w:p>
            <w:pPr>
              <w:spacing w:after="0" w:line="240" w:lineRule="auto"/>
            </w:pPr>
            <w:r>
              <w:rPr>
                <w:rFonts w:ascii="DejaVu Sans" w:hAnsi="DejaVu Sans" w:eastAsia="DejaVu Sans"/>
                <w:b/>
                <w:color w:val="1E2528"/>
                <w:sz w:val="15"/>
              </w:rPr>
              <w:t>Verteilung - Ausreichend</w:t>
            </w:r>
          </w:p>
        </w:tc>
        <w:tc>
          <w:tcPr>
            <w:tcW w:type="dxa" w:w="7361"/>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5"/>
              </w:rPr>
              <w:t>Bruttoeinsparungen werden von Fachstunden, Schulung, Lernen, Verzögerungen für Kundschaft und Ausstiegsarbeit getrennt. Die jüngere Kollegin erhält geschützte Zeit zur Rekonstruktion der Fälle.</w:t>
            </w:r>
          </w:p>
        </w:tc>
      </w:tr>
      <w:tr>
        <w:trPr>
          <w:cantSplit/>
        </w:trPr>
        <w:tc>
          <w:tcPr>
            <w:tcW w:type="dxa" w:w="2863"/>
            <w:vAlign w:val="center"/>
            <w:tcMar>
              <w:top w:w="65" w:type="dxa"/>
              <w:start w:w="120" w:type="dxa"/>
              <w:bottom w:w="65" w:type="dxa"/>
              <w:end w:w="120" w:type="dxa"/>
            </w:tcMar>
            <w:shd w:fill="EFF2F3"/>
          </w:tcPr>
          <w:p>
            <w:pPr>
              <w:spacing w:after="0" w:line="240" w:lineRule="auto"/>
            </w:pPr>
            <w:r>
              <w:rPr>
                <w:rFonts w:ascii="DejaVu Sans" w:hAnsi="DejaVu Sans" w:eastAsia="DejaVu Sans"/>
                <w:b/>
                <w:color w:val="1E2528"/>
                <w:sz w:val="15"/>
              </w:rPr>
              <w:t>Schaden - Ausreichend</w:t>
            </w:r>
          </w:p>
        </w:tc>
        <w:tc>
          <w:tcPr>
            <w:tcW w:type="dxa" w:w="7361"/>
            <w:vAlign w:val="center"/>
            <w:tcMar>
              <w:top w:w="65" w:type="dxa"/>
              <w:start w:w="120" w:type="dxa"/>
              <w:bottom w:w="65" w:type="dxa"/>
              <w:end w:w="120" w:type="dxa"/>
            </w:tcMar>
            <w:shd w:fill="EFF2F3"/>
          </w:tcPr>
          <w:p>
            <w:pPr>
              <w:spacing w:after="0" w:line="240" w:lineRule="auto"/>
            </w:pPr>
            <w:r>
              <w:rPr>
                <w:rFonts w:ascii="DejaVu Sans" w:hAnsi="DejaVu Sans" w:eastAsia="DejaVu Sans"/>
                <w:b w:val="0"/>
                <w:color w:val="1E2528"/>
                <w:sz w:val="15"/>
              </w:rPr>
              <w:t>Plausibles Versagen: Eine Klausel lässt eine Begrenzung aus oder verlagert ein Risiko, bevor Quelle und Ausnahme verstanden sind. Die Unterschrift schafft ein Kontrollfenster; sie macht den Schaden nicht geringfügig.</w:t>
            </w:r>
          </w:p>
        </w:tc>
      </w:tr>
      <w:tr>
        <w:trPr>
          <w:cantSplit/>
        </w:trPr>
        <w:tc>
          <w:tcPr>
            <w:tcW w:type="dxa" w:w="2863"/>
            <w:vAlign w:val="center"/>
            <w:tcMar>
              <w:top w:w="65" w:type="dxa"/>
              <w:start w:w="120" w:type="dxa"/>
              <w:bottom w:w="65" w:type="dxa"/>
              <w:end w:w="120" w:type="dxa"/>
            </w:tcMar>
          </w:tcPr>
          <w:p>
            <w:pPr>
              <w:spacing w:after="0" w:line="240" w:lineRule="auto"/>
            </w:pPr>
            <w:r>
              <w:rPr>
                <w:rFonts w:ascii="DejaVu Sans" w:hAnsi="DejaVu Sans" w:eastAsia="DejaVu Sans"/>
                <w:b/>
                <w:color w:val="1E2528"/>
                <w:sz w:val="15"/>
              </w:rPr>
              <w:t>Rechtsschutz - während des Pilotprojekts Ausreichend</w:t>
            </w:r>
          </w:p>
        </w:tc>
        <w:tc>
          <w:tcPr>
            <w:tcW w:type="dxa" w:w="7361"/>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5"/>
              </w:rPr>
              <w:t>Keine Außenwirkung erfolgt automatisch. Die Vertragsverantwortliche kann wiederaufnehmen, ändern, blockieren und aussetzen; Eingriffe werden protokolliert. Der Widerspruch des Vertriebsleiters bleibt dokumentiert, ersetzt aber nicht den Rechtsschutz der Gegenpartei.</w:t>
            </w:r>
          </w:p>
        </w:tc>
      </w:tr>
      <w:tr>
        <w:trPr>
          <w:cantSplit/>
        </w:trPr>
        <w:tc>
          <w:tcPr>
            <w:tcW w:type="dxa" w:w="2863"/>
            <w:vAlign w:val="center"/>
            <w:tcMar>
              <w:top w:w="65" w:type="dxa"/>
              <w:start w:w="120" w:type="dxa"/>
              <w:bottom w:w="65" w:type="dxa"/>
              <w:end w:w="120" w:type="dxa"/>
            </w:tcMar>
            <w:shd w:fill="EFF2F3"/>
          </w:tcPr>
          <w:p>
            <w:pPr>
              <w:spacing w:after="0" w:line="240" w:lineRule="auto"/>
            </w:pPr>
            <w:r>
              <w:rPr>
                <w:rFonts w:ascii="DejaVu Sans" w:hAnsi="DejaVu Sans" w:eastAsia="DejaVu Sans"/>
                <w:b/>
                <w:color w:val="1E2528"/>
                <w:sz w:val="15"/>
              </w:rPr>
              <w:t>Ausstieg - zunächst Blockierend, dann Ausreichend</w:t>
            </w:r>
          </w:p>
        </w:tc>
        <w:tc>
          <w:tcPr>
            <w:tcW w:type="dxa" w:w="7361"/>
            <w:vAlign w:val="center"/>
            <w:tcMar>
              <w:top w:w="65" w:type="dxa"/>
              <w:start w:w="120" w:type="dxa"/>
              <w:bottom w:w="65" w:type="dxa"/>
              <w:end w:w="120" w:type="dxa"/>
            </w:tcMar>
            <w:shd w:fill="EFF2F3"/>
          </w:tcPr>
          <w:p>
            <w:pPr>
              <w:spacing w:after="0" w:line="240" w:lineRule="auto"/>
            </w:pPr>
            <w:r>
              <w:rPr>
                <w:rFonts w:ascii="DejaVu Sans" w:hAnsi="DejaVu Sans" w:eastAsia="DejaVu Sans"/>
                <w:b w:val="0"/>
                <w:color w:val="1E2528"/>
                <w:sz w:val="15"/>
              </w:rPr>
              <w:t>Der erste Export erlaubt keine Rekonstruktion von Konfigurationen und Berechtigungen; deshalb beginnt das Pilotprojekt nicht. Beim zweiten Test öffnet das Team einen Fall in einer getrennten Umgebung erneut und arbeitet ohne den Hauptdienst weiter. Zum Abschluss exportiert es Register und Konfigurationen, öffnet einen zufälligen Fall ohne Anbieterhilfe erneut und entzieht die Zugriffe.</w:t>
            </w:r>
          </w:p>
        </w:tc>
      </w:tr>
      <w:tr>
        <w:trPr>
          <w:cantSplit/>
        </w:trPr>
        <w:tc>
          <w:tcPr>
            <w:tcW w:type="dxa" w:w="2863"/>
            <w:vAlign w:val="center"/>
            <w:tcMar>
              <w:top w:w="65" w:type="dxa"/>
              <w:start w:w="120" w:type="dxa"/>
              <w:bottom w:w="65" w:type="dxa"/>
              <w:end w:w="120" w:type="dxa"/>
            </w:tcMar>
          </w:tcPr>
          <w:p>
            <w:pPr>
              <w:spacing w:after="0" w:line="240" w:lineRule="auto"/>
            </w:pPr>
            <w:r>
              <w:rPr>
                <w:rFonts w:ascii="DejaVu Sans" w:hAnsi="DejaVu Sans" w:eastAsia="DejaVu Sans"/>
                <w:b/>
                <w:color w:val="1E2528"/>
                <w:sz w:val="15"/>
              </w:rPr>
              <w:t>Vorläufige Entscheidung</w:t>
            </w:r>
          </w:p>
        </w:tc>
        <w:tc>
          <w:tcPr>
            <w:tcW w:type="dxa" w:w="7361"/>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5"/>
              </w:rPr>
              <w:t>Begrenzen und erproben: neunzig Tage, zunächst im Schattenbetrieb, dann im Modus Schlägt vor; keine autonome Ausführung; Aufsicht, Kontrolle und Lernen werden vom Nutzen abgezogen.</w:t>
            </w:r>
          </w:p>
        </w:tc>
      </w:tr>
      <w:tr>
        <w:trPr>
          <w:cantSplit/>
        </w:trPr>
        <w:tc>
          <w:tcPr>
            <w:tcW w:type="dxa" w:w="2863"/>
            <w:vAlign w:val="center"/>
            <w:tcMar>
              <w:top w:w="65" w:type="dxa"/>
              <w:start w:w="120" w:type="dxa"/>
              <w:bottom w:w="65" w:type="dxa"/>
              <w:end w:w="120" w:type="dxa"/>
            </w:tcMar>
            <w:shd w:fill="EFF2F3"/>
          </w:tcPr>
          <w:p>
            <w:pPr>
              <w:spacing w:after="0" w:line="240" w:lineRule="auto"/>
            </w:pPr>
            <w:r>
              <w:rPr>
                <w:rFonts w:ascii="DejaVu Sans" w:hAnsi="DejaVu Sans" w:eastAsia="DejaVu Sans"/>
                <w:b/>
                <w:color w:val="1E2528"/>
                <w:sz w:val="15"/>
              </w:rPr>
              <w:t>Überwachung</w:t>
            </w:r>
          </w:p>
        </w:tc>
        <w:tc>
          <w:tcPr>
            <w:tcW w:type="dxa" w:w="7361"/>
            <w:vAlign w:val="center"/>
            <w:tcMar>
              <w:top w:w="65" w:type="dxa"/>
              <w:start w:w="120" w:type="dxa"/>
              <w:bottom w:w="65" w:type="dxa"/>
              <w:end w:w="120" w:type="dxa"/>
            </w:tcMar>
            <w:shd w:fill="EFF2F3"/>
          </w:tcPr>
          <w:p>
            <w:pPr>
              <w:spacing w:after="0" w:line="240" w:lineRule="auto"/>
            </w:pPr>
            <w:r>
              <w:rPr>
                <w:rFonts w:ascii="DejaVu Sans" w:hAnsi="DejaVu Sans" w:eastAsia="DejaVu Sans"/>
                <w:b w:val="0"/>
                <w:color w:val="1E2528"/>
                <w:sz w:val="15"/>
              </w:rPr>
              <w:t>Das Team dokumentiert kürzere Bearbeitungszeiten, Ausnahmen, Eingriffe, Fachstunden und die Rekonstruktion der Herkunft. Das System bleibt technisch fähig; bei tatsächlich ausgeübter Aufsicht rechtfertigt der Nettovorteil diesen Prozess und dieses Volumen nicht.</w:t>
            </w:r>
          </w:p>
        </w:tc>
      </w:tr>
      <w:tr>
        <w:trPr>
          <w:cantSplit/>
        </w:trPr>
        <w:tc>
          <w:tcPr>
            <w:tcW w:type="dxa" w:w="2863"/>
            <w:vAlign w:val="center"/>
            <w:tcMar>
              <w:top w:w="65" w:type="dxa"/>
              <w:start w:w="120" w:type="dxa"/>
              <w:bottom w:w="65" w:type="dxa"/>
              <w:end w:w="120" w:type="dxa"/>
            </w:tcMar>
          </w:tcPr>
          <w:p>
            <w:pPr>
              <w:spacing w:after="0" w:line="240" w:lineRule="auto"/>
            </w:pPr>
            <w:r>
              <w:rPr>
                <w:rFonts w:ascii="DejaVu Sans" w:hAnsi="DejaVu Sans" w:eastAsia="DejaVu Sans"/>
                <w:b/>
                <w:color w:val="1E2528"/>
                <w:sz w:val="15"/>
              </w:rPr>
              <w:t>Endgültige Entscheidung - 15. Oktober 2050</w:t>
            </w:r>
          </w:p>
        </w:tc>
        <w:tc>
          <w:tcPr>
            <w:tcW w:type="dxa" w:w="7361"/>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5"/>
              </w:rPr>
              <w:t>Nicht delegieren. Auch im Modus Schlägt vor nicht verlängern; Ausstieg einleiten und eine Alternative aufrechterhalten. Davide unterzeichnet und übernimmt Verantwortung für eine Entscheidung, die auf einen realen Nutzen verzichtet.</w:t>
            </w:r>
          </w:p>
        </w:tc>
      </w:tr>
      <w:tr>
        <w:trPr>
          <w:cantSplit/>
        </w:trPr>
        <w:tc>
          <w:tcPr>
            <w:tcW w:type="dxa" w:w="2863"/>
            <w:vAlign w:val="center"/>
            <w:tcMar>
              <w:top w:w="65" w:type="dxa"/>
              <w:start w:w="120" w:type="dxa"/>
              <w:bottom w:w="65" w:type="dxa"/>
              <w:end w:w="120" w:type="dxa"/>
            </w:tcMar>
            <w:shd w:fill="EFF2F3"/>
          </w:tcPr>
          <w:p>
            <w:pPr>
              <w:spacing w:after="0" w:line="240" w:lineRule="auto"/>
            </w:pPr>
            <w:r>
              <w:rPr>
                <w:rFonts w:ascii="DejaVu Sans" w:hAnsi="DejaVu Sans" w:eastAsia="DejaVu Sans"/>
                <w:b/>
                <w:color w:val="1E2528"/>
                <w:sz w:val="15"/>
              </w:rPr>
              <w:t>Aufrechterhaltene Alternative</w:t>
            </w:r>
          </w:p>
        </w:tc>
        <w:tc>
          <w:tcPr>
            <w:tcW w:type="dxa" w:w="7361"/>
            <w:vAlign w:val="center"/>
            <w:tcMar>
              <w:top w:w="65" w:type="dxa"/>
              <w:start w:w="120" w:type="dxa"/>
              <w:bottom w:w="65" w:type="dxa"/>
              <w:end w:w="120" w:type="dxa"/>
            </w:tcMar>
            <w:shd w:fill="EFF2F3"/>
          </w:tcPr>
          <w:p>
            <w:pPr>
              <w:spacing w:after="0" w:line="240" w:lineRule="auto"/>
            </w:pPr>
            <w:r>
              <w:rPr>
                <w:rFonts w:ascii="DejaVu Sans" w:hAnsi="DejaVu Sans" w:eastAsia="DejaVu Sans"/>
                <w:b w:val="0"/>
                <w:color w:val="1E2528"/>
                <w:sz w:val="15"/>
              </w:rPr>
              <w:t>Sammlung genehmigter Klauseln, früh markierte Ausnahmen, frühere Einbindung der Fachperson und geschützte Stunden zur Rekonstruktion der Fälle.</w:t>
            </w:r>
          </w:p>
        </w:tc>
      </w:tr>
      <w:tr>
        <w:trPr>
          <w:cantSplit/>
        </w:trPr>
        <w:tc>
          <w:tcPr>
            <w:tcW w:type="dxa" w:w="2863"/>
            <w:vAlign w:val="center"/>
            <w:tcMar>
              <w:top w:w="65" w:type="dxa"/>
              <w:start w:w="120" w:type="dxa"/>
              <w:bottom w:w="65" w:type="dxa"/>
              <w:end w:w="120" w:type="dxa"/>
            </w:tcMar>
          </w:tcPr>
          <w:p>
            <w:pPr>
              <w:spacing w:after="0" w:line="240" w:lineRule="auto"/>
            </w:pPr>
            <w:r>
              <w:rPr>
                <w:rFonts w:ascii="DejaVu Sans" w:hAnsi="DejaVu Sans" w:eastAsia="DejaVu Sans"/>
                <w:b/>
                <w:color w:val="1E2528"/>
                <w:sz w:val="15"/>
              </w:rPr>
              <w:t>Kosten des Neins</w:t>
            </w:r>
          </w:p>
        </w:tc>
        <w:tc>
          <w:tcPr>
            <w:tcW w:type="dxa" w:w="7361"/>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5"/>
              </w:rPr>
              <w:t>Wartende Angebote, nicht abrechenbare Stunden, Restzahlung an den Anbieter, geringere Marge und ein verlorener Kunde. Das Unternehmen behält lesbare Akten und besser verteilte Kompetenz.</w:t>
            </w:r>
          </w:p>
        </w:tc>
      </w:tr>
      <w:tr>
        <w:trPr>
          <w:cantSplit/>
        </w:trPr>
        <w:tc>
          <w:tcPr>
            <w:tcW w:type="dxa" w:w="2863"/>
            <w:vAlign w:val="center"/>
            <w:tcMar>
              <w:top w:w="65" w:type="dxa"/>
              <w:start w:w="120" w:type="dxa"/>
              <w:bottom w:w="65" w:type="dxa"/>
              <w:end w:w="120" w:type="dxa"/>
            </w:tcMar>
            <w:shd w:fill="EFF2F3"/>
          </w:tcPr>
          <w:p>
            <w:pPr>
              <w:spacing w:after="0" w:line="240" w:lineRule="auto"/>
            </w:pPr>
            <w:r>
              <w:rPr>
                <w:rFonts w:ascii="DejaVu Sans" w:hAnsi="DejaVu Sans" w:eastAsia="DejaVu Sans"/>
                <w:b/>
                <w:color w:val="1E2528"/>
                <w:sz w:val="15"/>
              </w:rPr>
              <w:t>Verantwortung und erneute Prüfung</w:t>
            </w:r>
          </w:p>
        </w:tc>
        <w:tc>
          <w:tcPr>
            <w:tcW w:type="dxa" w:w="7361"/>
            <w:vAlign w:val="center"/>
            <w:tcMar>
              <w:top w:w="65" w:type="dxa"/>
              <w:start w:w="120" w:type="dxa"/>
              <w:bottom w:w="65" w:type="dxa"/>
              <w:end w:w="120" w:type="dxa"/>
            </w:tcMar>
            <w:shd w:fill="EFF2F3"/>
          </w:tcPr>
          <w:p>
            <w:pPr>
              <w:spacing w:after="0" w:line="240" w:lineRule="auto"/>
            </w:pPr>
            <w:r>
              <w:rPr>
                <w:rFonts w:ascii="DejaVu Sans" w:hAnsi="DejaVu Sans" w:eastAsia="DejaVu Sans"/>
                <w:b w:val="0"/>
                <w:color w:val="1E2528"/>
                <w:sz w:val="15"/>
              </w:rPr>
              <w:t>Davide. Abschlussregister vom 16. Oktober 2050; erneute Prüfung vorgesehen für den 15. April 2051.</w:t>
            </w:r>
          </w:p>
        </w:tc>
      </w:tr>
    </w:tbl>
    <w:p>
      <w:pPr>
        <w:spacing w:after="0"/>
      </w:pPr>
    </w:p>
    <w:p>
      <w:pPr>
        <w:pStyle w:val="Heading1"/>
      </w:pPr>
      <w:r>
        <w:t>Wiederaufnahme: 15. April 2051</w:t>
      </w:r>
    </w:p>
    <w:p>
      <w:pPr>
        <w:keepLines w:val="0"/>
      </w:pPr>
      <w:r>
        <w:rPr>
          <w:rFonts w:ascii="DejaVu Sans" w:hAnsi="DejaVu Sans" w:eastAsia="DejaVu Sans"/>
          <w:color w:val="1E2528"/>
          <w:sz w:val="18"/>
        </w:rPr>
        <w:t>Sechs Monate später wird das Nein erneut geprüft, ohne es auszulöschen. Der Vorschlag ist neu und enger gefasst; die Prüfung bleibt vom Kauf getrennt und erhält die konkrete Möglichkeit, erneut Nein zu sagen.</w:t>
      </w:r>
    </w:p>
    <w:tbl>
      <w:tblPr>
        <w:tblW w:type="dxa" w:w="10224"/>
        <w:jc w:val="left"/>
        <w:tblLayout w:type="fixed"/>
        <w:tblLook w:firstColumn="1" w:firstRow="1" w:lastColumn="0" w:lastRow="0" w:noHBand="0" w:noVBand="1" w:val="04A0"/>
        <w:tblInd w:w="120" w:type="dxa"/>
        <w:tblBorders>
          <w:top w:val="single" w:sz="5" w:space="0" w:color="C8D2D7"/>
          <w:left w:val="single" w:sz="5" w:space="0" w:color="C8D2D7"/>
          <w:bottom w:val="single" w:sz="5" w:space="0" w:color="C8D2D7"/>
          <w:right w:val="single" w:sz="5" w:space="0" w:color="C8D2D7"/>
          <w:insideH w:val="single" w:sz="5" w:space="0" w:color="C8D2D7"/>
          <w:insideV w:val="single" w:sz="5" w:space="0" w:color="C8D2D7"/>
        </w:tblBorders>
      </w:tblPr>
      <w:tblGrid>
        <w:gridCol w:w="2760"/>
        <w:gridCol w:w="7464"/>
      </w:tblGrid>
      <w:tr>
        <w:trPr>
          <w:tblHeader w:val="true"/>
          <w:cantSplit/>
        </w:trPr>
        <w:tc>
          <w:tcPr>
            <w:tcW w:type="dxa" w:w="2760"/>
            <w:vAlign w:val="center"/>
            <w:tcMar>
              <w:top w:w="90" w:type="dxa"/>
              <w:start w:w="120" w:type="dxa"/>
              <w:bottom w:w="90" w:type="dxa"/>
              <w:end w:w="120" w:type="dxa"/>
            </w:tcMar>
            <w:shd w:fill="123044"/>
          </w:tcPr>
          <w:p>
            <w:pPr>
              <w:spacing w:after="0" w:line="259" w:lineRule="auto"/>
            </w:pPr>
            <w:r>
              <w:rPr>
                <w:rFonts w:ascii="DejaVu Sans" w:hAnsi="DejaVu Sans" w:eastAsia="DejaVu Sans"/>
                <w:b/>
                <w:color w:val="FFFFFF"/>
                <w:sz w:val="16"/>
              </w:rPr>
              <w:t>Feld</w:t>
            </w:r>
          </w:p>
        </w:tc>
        <w:tc>
          <w:tcPr>
            <w:tcW w:type="dxa" w:w="7464"/>
            <w:vAlign w:val="center"/>
            <w:tcMar>
              <w:top w:w="90" w:type="dxa"/>
              <w:start w:w="120" w:type="dxa"/>
              <w:bottom w:w="90" w:type="dxa"/>
              <w:end w:w="120" w:type="dxa"/>
            </w:tcMar>
            <w:shd w:fill="123044"/>
          </w:tcPr>
          <w:p>
            <w:pPr>
              <w:spacing w:after="0" w:line="259" w:lineRule="auto"/>
            </w:pPr>
            <w:r>
              <w:rPr>
                <w:rFonts w:ascii="DejaVu Sans" w:hAnsi="DejaVu Sans" w:eastAsia="DejaVu Sans"/>
                <w:b/>
                <w:color w:val="FFFFFF"/>
                <w:sz w:val="16"/>
              </w:rPr>
              <w:t>Wiederaufnahme am 15. April 2051</w:t>
            </w:r>
          </w:p>
        </w:tc>
      </w:tr>
      <w:tr>
        <w:trPr>
          <w:cantSplit/>
        </w:trPr>
        <w:tc>
          <w:tcPr>
            <w:tcW w:type="dxa" w:w="2760"/>
            <w:vAlign w:val="center"/>
            <w:tcMar>
              <w:top w:w="90" w:type="dxa"/>
              <w:start w:w="120" w:type="dxa"/>
              <w:bottom w:w="90" w:type="dxa"/>
              <w:end w:w="120" w:type="dxa"/>
            </w:tcMar>
          </w:tcPr>
          <w:p>
            <w:pPr>
              <w:spacing w:after="0" w:line="259" w:lineRule="auto"/>
            </w:pPr>
            <w:r>
              <w:rPr>
                <w:rFonts w:ascii="DejaVu Sans" w:hAnsi="DejaVu Sans" w:eastAsia="DejaVu Sans"/>
                <w:b/>
                <w:color w:val="1E2528"/>
                <w:sz w:val="16"/>
              </w:rPr>
              <w:t>Neuer Vorschlag</w:t>
            </w:r>
          </w:p>
        </w:tc>
        <w:tc>
          <w:tcPr>
            <w:tcW w:type="dxa" w:w="7464"/>
            <w:vAlign w:val="center"/>
            <w:tcMar>
              <w:top w:w="90" w:type="dxa"/>
              <w:start w:w="120" w:type="dxa"/>
              <w:bottom w:w="90" w:type="dxa"/>
              <w:end w:w="120" w:type="dxa"/>
            </w:tcMar>
          </w:tcPr>
          <w:p>
            <w:pPr>
              <w:spacing w:after="0" w:line="259" w:lineRule="auto"/>
            </w:pPr>
            <w:r>
              <w:rPr>
                <w:rFonts w:ascii="DejaVu Sans" w:hAnsi="DejaVu Sans" w:eastAsia="DejaVu Sans"/>
                <w:b w:val="0"/>
                <w:color w:val="1E2528"/>
                <w:sz w:val="16"/>
              </w:rPr>
              <w:t>Präzedenzfälle suchen, ohne Angebote zu erzeugen, zu geringeren Kosten und ohne Zugriff auf offene Akten.</w:t>
            </w:r>
          </w:p>
        </w:tc>
      </w:tr>
      <w:tr>
        <w:trPr>
          <w:cantSplit/>
        </w:trPr>
        <w:tc>
          <w:tcPr>
            <w:tcW w:type="dxa" w:w="2760"/>
            <w:vAlign w:val="center"/>
            <w:tcMar>
              <w:top w:w="90" w:type="dxa"/>
              <w:start w:w="120" w:type="dxa"/>
              <w:bottom w:w="90" w:type="dxa"/>
              <w:end w:w="120" w:type="dxa"/>
            </w:tcMar>
            <w:shd w:fill="EFF2F3"/>
          </w:tcPr>
          <w:p>
            <w:pPr>
              <w:spacing w:after="0" w:line="259" w:lineRule="auto"/>
            </w:pPr>
            <w:r>
              <w:rPr>
                <w:rFonts w:ascii="DejaVu Sans" w:hAnsi="DejaVu Sans" w:eastAsia="DejaVu Sans"/>
                <w:b/>
                <w:color w:val="1E2528"/>
                <w:sz w:val="16"/>
              </w:rPr>
              <w:t>Prüfbereich</w:t>
            </w:r>
          </w:p>
        </w:tc>
        <w:tc>
          <w:tcPr>
            <w:tcW w:type="dxa" w:w="7464"/>
            <w:vAlign w:val="center"/>
            <w:tcMar>
              <w:top w:w="90" w:type="dxa"/>
              <w:start w:w="120" w:type="dxa"/>
              <w:bottom w:w="90" w:type="dxa"/>
              <w:end w:w="120" w:type="dxa"/>
            </w:tcMar>
            <w:shd w:fill="EFF2F3"/>
          </w:tcPr>
          <w:p>
            <w:pPr>
              <w:spacing w:after="0" w:line="259" w:lineRule="auto"/>
            </w:pPr>
            <w:r>
              <w:rPr>
                <w:rFonts w:ascii="DejaVu Sans" w:hAnsi="DejaVu Sans" w:eastAsia="DejaVu Sans"/>
                <w:b w:val="0"/>
                <w:color w:val="1E2528"/>
                <w:sz w:val="16"/>
              </w:rPr>
              <w:t>Neuer Test im Schattenbetrieb mit geschlossenen Akten; weder Kauf noch Außenwirkung sind genehmigt.</w:t>
            </w:r>
          </w:p>
        </w:tc>
      </w:tr>
      <w:tr>
        <w:trPr>
          <w:cantSplit/>
        </w:trPr>
        <w:tc>
          <w:tcPr>
            <w:tcW w:type="dxa" w:w="2760"/>
            <w:vAlign w:val="center"/>
            <w:tcMar>
              <w:top w:w="90" w:type="dxa"/>
              <w:start w:w="120" w:type="dxa"/>
              <w:bottom w:w="90" w:type="dxa"/>
              <w:end w:w="120" w:type="dxa"/>
            </w:tcMar>
          </w:tcPr>
          <w:p>
            <w:pPr>
              <w:spacing w:after="0" w:line="259" w:lineRule="auto"/>
            </w:pPr>
            <w:r>
              <w:rPr>
                <w:rFonts w:ascii="DejaVu Sans" w:hAnsi="DejaVu Sans" w:eastAsia="DejaVu Sans"/>
                <w:b/>
                <w:color w:val="1E2528"/>
                <w:sz w:val="16"/>
              </w:rPr>
              <w:t>Nachweise und Kosten</w:t>
            </w:r>
          </w:p>
        </w:tc>
        <w:tc>
          <w:tcPr>
            <w:tcW w:type="dxa" w:w="7464"/>
            <w:vAlign w:val="center"/>
            <w:tcMar>
              <w:top w:w="90" w:type="dxa"/>
              <w:start w:w="120" w:type="dxa"/>
              <w:bottom w:w="90" w:type="dxa"/>
              <w:end w:w="120" w:type="dxa"/>
            </w:tcMar>
          </w:tcPr>
          <w:p>
            <w:pPr>
              <w:spacing w:after="0" w:line="259" w:lineRule="auto"/>
            </w:pPr>
            <w:r>
              <w:rPr>
                <w:rFonts w:ascii="DejaVu Sans" w:hAnsi="DejaVu Sans" w:eastAsia="DejaVu Sans"/>
                <w:b w:val="0"/>
                <w:color w:val="1E2528"/>
                <w:sz w:val="16"/>
              </w:rPr>
              <w:t>Wartezeiten, verspätete Korrekturen, Marge, Fachstunden, Aufsicht, Schulung und Lernen bleiben in derselben Rechnung dokumentiert.</w:t>
            </w:r>
          </w:p>
        </w:tc>
      </w:tr>
      <w:tr>
        <w:trPr>
          <w:cantSplit/>
        </w:trPr>
        <w:tc>
          <w:tcPr>
            <w:tcW w:type="dxa" w:w="2760"/>
            <w:vAlign w:val="center"/>
            <w:tcMar>
              <w:top w:w="90" w:type="dxa"/>
              <w:start w:w="120" w:type="dxa"/>
              <w:bottom w:w="90" w:type="dxa"/>
              <w:end w:w="120" w:type="dxa"/>
            </w:tcMar>
            <w:shd w:fill="EFF2F3"/>
          </w:tcPr>
          <w:p>
            <w:pPr>
              <w:spacing w:after="0" w:line="259" w:lineRule="auto"/>
            </w:pPr>
            <w:r>
              <w:rPr>
                <w:rFonts w:ascii="DejaVu Sans" w:hAnsi="DejaVu Sans" w:eastAsia="DejaVu Sans"/>
                <w:b/>
                <w:color w:val="1E2528"/>
                <w:sz w:val="16"/>
              </w:rPr>
              <w:t>Schwellenwert und Stoppen</w:t>
            </w:r>
          </w:p>
        </w:tc>
        <w:tc>
          <w:tcPr>
            <w:tcW w:type="dxa" w:w="7464"/>
            <w:vAlign w:val="center"/>
            <w:tcMar>
              <w:top w:w="90" w:type="dxa"/>
              <w:start w:w="120" w:type="dxa"/>
              <w:bottom w:w="90" w:type="dxa"/>
              <w:end w:w="120" w:type="dxa"/>
            </w:tcMar>
            <w:shd w:fill="EFF2F3"/>
          </w:tcPr>
          <w:p>
            <w:pPr>
              <w:spacing w:after="0" w:line="259" w:lineRule="auto"/>
            </w:pPr>
            <w:r>
              <w:rPr>
                <w:rFonts w:ascii="DejaVu Sans" w:hAnsi="DejaVu Sans" w:eastAsia="DejaVu Sans"/>
                <w:b w:val="0"/>
                <w:color w:val="1E2528"/>
                <w:sz w:val="16"/>
              </w:rPr>
              <w:t>Erfolgskriterium, verantwortliche Person und Befugnis zum Stoppen werden vor dem Start festgelegt; der Test kann ohne Kauf des Systems beendet werden.</w:t>
            </w:r>
          </w:p>
        </w:tc>
      </w:tr>
      <w:tr>
        <w:trPr>
          <w:cantSplit/>
        </w:trPr>
        <w:tc>
          <w:tcPr>
            <w:tcW w:type="dxa" w:w="2760"/>
            <w:vAlign w:val="center"/>
            <w:tcMar>
              <w:top w:w="90" w:type="dxa"/>
              <w:start w:w="120" w:type="dxa"/>
              <w:bottom w:w="90" w:type="dxa"/>
              <w:end w:w="120" w:type="dxa"/>
            </w:tcMar>
          </w:tcPr>
          <w:p>
            <w:pPr>
              <w:spacing w:after="0" w:line="259" w:lineRule="auto"/>
            </w:pPr>
            <w:r>
              <w:rPr>
                <w:rFonts w:ascii="DejaVu Sans" w:hAnsi="DejaVu Sans" w:eastAsia="DejaVu Sans"/>
                <w:b/>
                <w:color w:val="1E2528"/>
                <w:sz w:val="16"/>
              </w:rPr>
              <w:t>Entscheidung</w:t>
            </w:r>
          </w:p>
        </w:tc>
        <w:tc>
          <w:tcPr>
            <w:tcW w:type="dxa" w:w="7464"/>
            <w:vAlign w:val="center"/>
            <w:tcMar>
              <w:top w:w="90" w:type="dxa"/>
              <w:start w:w="120" w:type="dxa"/>
              <w:bottom w:w="90" w:type="dxa"/>
              <w:end w:w="120" w:type="dxa"/>
            </w:tcMar>
          </w:tcPr>
          <w:p>
            <w:pPr>
              <w:spacing w:after="0" w:line="259" w:lineRule="auto"/>
            </w:pPr>
            <w:r>
              <w:rPr>
                <w:rFonts w:ascii="DejaVu Sans" w:hAnsi="DejaVu Sans" w:eastAsia="DejaVu Sans"/>
                <w:b w:val="0"/>
                <w:color w:val="1E2528"/>
                <w:sz w:val="16"/>
              </w:rPr>
              <w:t>Die erneute Prüfung hebt das erste Nein nicht auf. Nach Abschluss des Tests bleiben Nicht delegieren und die konkrete Möglichkeit, erneut Nein zu sagen, verfügbar.</w:t>
            </w:r>
          </w:p>
        </w:tc>
      </w:tr>
    </w:tbl>
    <w:p>
      <w:pPr>
        <w:spacing w:after="0"/>
      </w:pPr>
    </w:p>
    <w:p>
      <w:pPr>
        <w:pStyle w:val="Heading1"/>
      </w:pPr>
      <w:r>
        <w:t>Übertragbares Kriterium</w:t>
      </w:r>
    </w:p>
    <w:tbl>
      <w:tblPr>
        <w:tblW w:type="dxa" w:w="10224"/>
        <w:jc w:val="left"/>
        <w:tblLayout w:type="fixed"/>
        <w:tblLook w:firstColumn="1" w:firstRow="1" w:lastColumn="0" w:lastRow="0" w:noHBand="0" w:noVBand="1" w:val="04A0"/>
        <w:tblInd w:w="150" w:type="dxa"/>
        <w:tblBorders>
          <w:top w:val="single" w:sz="7" w:space="0" w:color="B54B2A"/>
          <w:left w:val="single" w:sz="7" w:space="0" w:color="B54B2A"/>
          <w:bottom w:val="single" w:sz="7" w:space="0" w:color="B54B2A"/>
          <w:right w:val="single" w:sz="7" w:space="0" w:color="B54B2A"/>
          <w:insideH w:val="single" w:sz="7" w:space="0" w:color="B54B2A"/>
          <w:insideV w:val="single" w:sz="7" w:space="0" w:color="B54B2A"/>
        </w:tblBorders>
      </w:tblPr>
      <w:tblGrid>
        <w:gridCol w:w="10224"/>
      </w:tblGrid>
      <w:tr>
        <w:trPr>
          <w:cantSplit/>
        </w:trPr>
        <w:tc>
          <w:tcPr>
            <w:tcW w:type="dxa" w:w="10224"/>
            <w:shd w:fill="F7E7E0"/>
            <w:tcMar>
              <w:top w:w="120" w:type="dxa"/>
              <w:start w:w="150" w:type="dxa"/>
              <w:bottom w:w="120" w:type="dxa"/>
              <w:end w:w="150" w:type="dxa"/>
            </w:tcMar>
          </w:tcPr>
          <w:p>
            <w:pPr>
              <w:spacing w:after="40"/>
            </w:pPr>
            <w:r>
              <w:rPr>
                <w:rFonts w:ascii="DejaVu Sans" w:hAnsi="DejaVu Sans" w:eastAsia="DejaVu Sans"/>
                <w:b/>
                <w:color w:val="B54B2A"/>
                <w:sz w:val="17"/>
              </w:rPr>
              <w:t xml:space="preserve">DIE AUSSAGE DES FALLS  </w:t>
            </w:r>
            <w:r>
              <w:rPr>
                <w:rFonts w:ascii="DejaVu Sans" w:hAnsi="DejaVu Sans" w:eastAsia="DejaVu Sans"/>
                <w:color w:val="1E2528"/>
                <w:sz w:val="18"/>
              </w:rPr>
              <w:t>Nicht delegieren bedeutet nicht, das Produkt für nutzlos zu erklären. Es bedeutet, diese Befugnis in diesem Verfahren und zu diesem Zeitpunkt abzulehnen, wenn der verbleibende Nutzen Aufsicht, Abhängigkeit und Ausstieg nicht trägt und eine bessere organisatorische Alternative besteht. Das Nein bleibt begründet, kostspielig und erneut prüfbar.</w:t>
            </w:r>
          </w:p>
        </w:tc>
      </w:tr>
    </w:tbl>
    <w:p>
      <w:pPr>
        <w:spacing w:after="0"/>
      </w:pPr>
    </w:p>
    <w:p>
      <w:pPr>
        <w:pStyle w:val="Heading2"/>
      </w:pPr>
      <w:r>
        <w:t>Fragen zur Übertragung des Falls</w:t>
      </w:r>
    </w:p>
    <w:tbl>
      <w:tblPr>
        <w:tblW w:type="dxa" w:w="10224"/>
        <w:jc w:val="left"/>
        <w:tblLayout w:type="fixed"/>
        <w:tblLook w:firstColumn="1" w:firstRow="1" w:lastColumn="0" w:lastRow="0" w:noHBand="0" w:noVBand="1" w:val="04A0"/>
        <w:tblInd w:w="120" w:type="dxa"/>
        <w:tblBorders>
          <w:top w:val="single" w:sz="5" w:space="0" w:color="C8D2D7"/>
          <w:left w:val="single" w:sz="5" w:space="0" w:color="C8D2D7"/>
          <w:bottom w:val="single" w:sz="5" w:space="0" w:color="C8D2D7"/>
          <w:right w:val="single" w:sz="5" w:space="0" w:color="C8D2D7"/>
          <w:insideH w:val="single" w:sz="5" w:space="0" w:color="C8D2D7"/>
          <w:insideV w:val="single" w:sz="5" w:space="0" w:color="C8D2D7"/>
        </w:tblBorders>
      </w:tblPr>
      <w:tblGrid>
        <w:gridCol w:w="5010"/>
        <w:gridCol w:w="5214"/>
      </w:tblGrid>
      <w:tr>
        <w:trPr>
          <w:tblHeader w:val="true"/>
          <w:cantSplit/>
        </w:trPr>
        <w:tc>
          <w:tcPr>
            <w:tcW w:type="dxa" w:w="5010"/>
            <w:vAlign w:val="center"/>
            <w:tcMar>
              <w:top w:w="90" w:type="dxa"/>
              <w:start w:w="120" w:type="dxa"/>
              <w:bottom w:w="90" w:type="dxa"/>
              <w:end w:w="120" w:type="dxa"/>
            </w:tcMar>
            <w:shd w:fill="123044"/>
          </w:tcPr>
          <w:p>
            <w:pPr>
              <w:spacing w:after="0" w:line="259" w:lineRule="auto"/>
            </w:pPr>
            <w:r>
              <w:rPr>
                <w:rFonts w:ascii="DejaVu Sans" w:hAnsi="DejaVu Sans" w:eastAsia="DejaVu Sans"/>
                <w:b/>
                <w:color w:val="FFFFFF"/>
                <w:sz w:val="16"/>
              </w:rPr>
              <w:t>Frage</w:t>
            </w:r>
          </w:p>
        </w:tc>
        <w:tc>
          <w:tcPr>
            <w:tcW w:type="dxa" w:w="5214"/>
            <w:vAlign w:val="center"/>
            <w:tcMar>
              <w:top w:w="90" w:type="dxa"/>
              <w:start w:w="120" w:type="dxa"/>
              <w:bottom w:w="90" w:type="dxa"/>
              <w:end w:w="120" w:type="dxa"/>
            </w:tcMar>
            <w:shd w:fill="123044"/>
          </w:tcPr>
          <w:p>
            <w:pPr>
              <w:spacing w:after="0" w:line="259" w:lineRule="auto"/>
            </w:pPr>
            <w:r>
              <w:rPr>
                <w:rFonts w:ascii="DejaVu Sans" w:hAnsi="DejaVu Sans" w:eastAsia="DejaVu Sans"/>
                <w:b/>
                <w:color w:val="FFFFFF"/>
                <w:sz w:val="16"/>
              </w:rPr>
              <w:t>Nachweise, die im eigenen Kontext zu suchen sind</w:t>
            </w:r>
          </w:p>
        </w:tc>
      </w:tr>
      <w:tr>
        <w:trPr>
          <w:cantSplit/>
          <w:trHeight w:val="520" w:hRule="atLeast"/>
        </w:trPr>
        <w:tc>
          <w:tcPr>
            <w:tcW w:type="dxa" w:w="5010"/>
            <w:vAlign w:val="center"/>
            <w:tcMar>
              <w:top w:w="90" w:type="dxa"/>
              <w:start w:w="120" w:type="dxa"/>
              <w:bottom w:w="90" w:type="dxa"/>
              <w:end w:w="120" w:type="dxa"/>
            </w:tcMar>
          </w:tcPr>
          <w:p>
            <w:pPr>
              <w:spacing w:after="0" w:line="259" w:lineRule="auto"/>
            </w:pPr>
            <w:r>
              <w:rPr>
                <w:rFonts w:ascii="DejaVu Sans" w:hAnsi="DejaVu Sans" w:eastAsia="DejaVu Sans"/>
                <w:b/>
                <w:color w:val="1E2528"/>
                <w:sz w:val="16"/>
              </w:rPr>
              <w:t>Misst das Erfolgskriterium den Bedarf oder nur das erzeugte Volumen?</w:t>
            </w:r>
          </w:p>
        </w:tc>
        <w:tc>
          <w:tcPr>
            <w:tcW w:type="dxa" w:w="5214"/>
            <w:vAlign w:val="center"/>
            <w:tcMar>
              <w:top w:w="90" w:type="dxa"/>
              <w:start w:w="120" w:type="dxa"/>
              <w:bottom w:w="90" w:type="dxa"/>
              <w:end w:w="120" w:type="dxa"/>
            </w:tcMar>
          </w:tcPr>
          <w:p>
            <w:pPr>
              <w:spacing w:after="0" w:line="259" w:lineRule="auto"/>
            </w:pPr>
            <w:r>
              <w:rPr>
                <w:rFonts w:ascii="DejaVu Sans" w:hAnsi="DejaVu Sans" w:eastAsia="DejaVu Sans"/>
                <w:b w:val="0"/>
                <w:color w:val="1E2528"/>
                <w:sz w:val="16"/>
              </w:rPr>
            </w:r>
          </w:p>
        </w:tc>
      </w:tr>
      <w:tr>
        <w:trPr>
          <w:cantSplit/>
          <w:trHeight w:val="520" w:hRule="atLeast"/>
        </w:trPr>
        <w:tc>
          <w:tcPr>
            <w:tcW w:type="dxa" w:w="5010"/>
            <w:vAlign w:val="center"/>
            <w:tcMar>
              <w:top w:w="90" w:type="dxa"/>
              <w:start w:w="120" w:type="dxa"/>
              <w:bottom w:w="90" w:type="dxa"/>
              <w:end w:w="120" w:type="dxa"/>
            </w:tcMar>
            <w:shd w:fill="EFF2F3"/>
          </w:tcPr>
          <w:p>
            <w:pPr>
              <w:spacing w:after="0" w:line="259" w:lineRule="auto"/>
            </w:pPr>
            <w:r>
              <w:rPr>
                <w:rFonts w:ascii="DejaVu Sans" w:hAnsi="DejaVu Sans" w:eastAsia="DejaVu Sans"/>
                <w:b/>
                <w:color w:val="1E2528"/>
                <w:sz w:val="16"/>
              </w:rPr>
              <w:t>Welche Befugnis muss im Modus Unterstützt oder Schlägt vor bleiben?</w:t>
            </w:r>
          </w:p>
        </w:tc>
        <w:tc>
          <w:tcPr>
            <w:tcW w:type="dxa" w:w="5214"/>
            <w:vAlign w:val="center"/>
            <w:tcMar>
              <w:top w:w="90" w:type="dxa"/>
              <w:start w:w="120" w:type="dxa"/>
              <w:bottom w:w="90" w:type="dxa"/>
              <w:end w:w="120" w:type="dxa"/>
            </w:tcMar>
            <w:shd w:fill="EFF2F3"/>
          </w:tcPr>
          <w:p>
            <w:pPr>
              <w:spacing w:after="0" w:line="259" w:lineRule="auto"/>
            </w:pPr>
            <w:r>
              <w:rPr>
                <w:rFonts w:ascii="DejaVu Sans" w:hAnsi="DejaVu Sans" w:eastAsia="DejaVu Sans"/>
                <w:b w:val="0"/>
                <w:color w:val="1E2528"/>
                <w:sz w:val="16"/>
              </w:rPr>
            </w:r>
          </w:p>
        </w:tc>
      </w:tr>
      <w:tr>
        <w:trPr>
          <w:cantSplit/>
          <w:trHeight w:val="520" w:hRule="atLeast"/>
        </w:trPr>
        <w:tc>
          <w:tcPr>
            <w:tcW w:type="dxa" w:w="5010"/>
            <w:vAlign w:val="center"/>
            <w:tcMar>
              <w:top w:w="90" w:type="dxa"/>
              <w:start w:w="120" w:type="dxa"/>
              <w:bottom w:w="90" w:type="dxa"/>
              <w:end w:w="120" w:type="dxa"/>
            </w:tcMar>
          </w:tcPr>
          <w:p>
            <w:pPr>
              <w:spacing w:after="0" w:line="259" w:lineRule="auto"/>
            </w:pPr>
            <w:r>
              <w:rPr>
                <w:rFonts w:ascii="DejaVu Sans" w:hAnsi="DejaVu Sans" w:eastAsia="DejaVu Sans"/>
                <w:b/>
                <w:color w:val="1E2528"/>
                <w:sz w:val="16"/>
              </w:rPr>
              <w:t>Wer bezahlt Aufsicht, Schulung, Wartezeit und Ausstieg?</w:t>
            </w:r>
          </w:p>
        </w:tc>
        <w:tc>
          <w:tcPr>
            <w:tcW w:type="dxa" w:w="5214"/>
            <w:vAlign w:val="center"/>
            <w:tcMar>
              <w:top w:w="90" w:type="dxa"/>
              <w:start w:w="120" w:type="dxa"/>
              <w:bottom w:w="90" w:type="dxa"/>
              <w:end w:w="120" w:type="dxa"/>
            </w:tcMar>
          </w:tcPr>
          <w:p>
            <w:pPr>
              <w:spacing w:after="0" w:line="259" w:lineRule="auto"/>
            </w:pPr>
            <w:r>
              <w:rPr>
                <w:rFonts w:ascii="DejaVu Sans" w:hAnsi="DejaVu Sans" w:eastAsia="DejaVu Sans"/>
                <w:b w:val="0"/>
                <w:color w:val="1E2528"/>
                <w:sz w:val="16"/>
              </w:rPr>
            </w:r>
          </w:p>
        </w:tc>
      </w:tr>
      <w:tr>
        <w:trPr>
          <w:cantSplit/>
          <w:trHeight w:val="520" w:hRule="atLeast"/>
        </w:trPr>
        <w:tc>
          <w:tcPr>
            <w:tcW w:type="dxa" w:w="5010"/>
            <w:vAlign w:val="center"/>
            <w:tcMar>
              <w:top w:w="90" w:type="dxa"/>
              <w:start w:w="120" w:type="dxa"/>
              <w:bottom w:w="90" w:type="dxa"/>
              <w:end w:w="120" w:type="dxa"/>
            </w:tcMar>
            <w:shd w:fill="EFF2F3"/>
          </w:tcPr>
          <w:p>
            <w:pPr>
              <w:spacing w:after="0" w:line="259" w:lineRule="auto"/>
            </w:pPr>
            <w:r>
              <w:rPr>
                <w:rFonts w:ascii="DejaVu Sans" w:hAnsi="DejaVu Sans" w:eastAsia="DejaVu Sans"/>
                <w:b/>
                <w:color w:val="1E2528"/>
                <w:sz w:val="16"/>
              </w:rPr>
              <w:t>Welcher plausible Fehler wirkt elegant und überzeugend, liegt aber am entscheidenden Punkt falsch?</w:t>
            </w:r>
          </w:p>
        </w:tc>
        <w:tc>
          <w:tcPr>
            <w:tcW w:type="dxa" w:w="5214"/>
            <w:vAlign w:val="center"/>
            <w:tcMar>
              <w:top w:w="90" w:type="dxa"/>
              <w:start w:w="120" w:type="dxa"/>
              <w:bottom w:w="90" w:type="dxa"/>
              <w:end w:w="120" w:type="dxa"/>
            </w:tcMar>
            <w:shd w:fill="EFF2F3"/>
          </w:tcPr>
          <w:p>
            <w:pPr>
              <w:spacing w:after="0" w:line="259" w:lineRule="auto"/>
            </w:pPr>
            <w:r>
              <w:rPr>
                <w:rFonts w:ascii="DejaVu Sans" w:hAnsi="DejaVu Sans" w:eastAsia="DejaVu Sans"/>
                <w:b w:val="0"/>
                <w:color w:val="1E2528"/>
                <w:sz w:val="16"/>
              </w:rPr>
            </w:r>
          </w:p>
        </w:tc>
      </w:tr>
      <w:tr>
        <w:trPr>
          <w:cantSplit/>
          <w:trHeight w:val="520" w:hRule="atLeast"/>
        </w:trPr>
        <w:tc>
          <w:tcPr>
            <w:tcW w:type="dxa" w:w="5010"/>
            <w:vAlign w:val="center"/>
            <w:tcMar>
              <w:top w:w="90" w:type="dxa"/>
              <w:start w:w="120" w:type="dxa"/>
              <w:bottom w:w="90" w:type="dxa"/>
              <w:end w:w="120" w:type="dxa"/>
            </w:tcMar>
          </w:tcPr>
          <w:p>
            <w:pPr>
              <w:spacing w:after="0" w:line="259" w:lineRule="auto"/>
            </w:pPr>
            <w:r>
              <w:rPr>
                <w:rFonts w:ascii="DejaVu Sans" w:hAnsi="DejaVu Sans" w:eastAsia="DejaVu Sans"/>
                <w:b/>
                <w:color w:val="1E2528"/>
                <w:sz w:val="16"/>
              </w:rPr>
              <w:t>Erlaubt der Ausstiegstest auch die Rekonstruktion von Konfigurationen und Berechtigungen?</w:t>
            </w:r>
          </w:p>
        </w:tc>
        <w:tc>
          <w:tcPr>
            <w:tcW w:type="dxa" w:w="5214"/>
            <w:vAlign w:val="center"/>
            <w:tcMar>
              <w:top w:w="90" w:type="dxa"/>
              <w:start w:w="120" w:type="dxa"/>
              <w:bottom w:w="90" w:type="dxa"/>
              <w:end w:w="120" w:type="dxa"/>
            </w:tcMar>
          </w:tcPr>
          <w:p>
            <w:pPr>
              <w:spacing w:after="0" w:line="259" w:lineRule="auto"/>
            </w:pPr>
            <w:r>
              <w:rPr>
                <w:rFonts w:ascii="DejaVu Sans" w:hAnsi="DejaVu Sans" w:eastAsia="DejaVu Sans"/>
                <w:b w:val="0"/>
                <w:color w:val="1E2528"/>
                <w:sz w:val="16"/>
              </w:rPr>
            </w:r>
          </w:p>
        </w:tc>
      </w:tr>
      <w:tr>
        <w:trPr>
          <w:cantSplit/>
          <w:trHeight w:val="520" w:hRule="atLeast"/>
        </w:trPr>
        <w:tc>
          <w:tcPr>
            <w:tcW w:type="dxa" w:w="5010"/>
            <w:vAlign w:val="center"/>
            <w:tcMar>
              <w:top w:w="90" w:type="dxa"/>
              <w:start w:w="120" w:type="dxa"/>
              <w:bottom w:w="90" w:type="dxa"/>
              <w:end w:w="120" w:type="dxa"/>
            </w:tcMar>
            <w:shd w:fill="EFF2F3"/>
          </w:tcPr>
          <w:p>
            <w:pPr>
              <w:spacing w:after="0" w:line="259" w:lineRule="auto"/>
            </w:pPr>
            <w:r>
              <w:rPr>
                <w:rFonts w:ascii="DejaVu Sans" w:hAnsi="DejaVu Sans" w:eastAsia="DejaVu Sans"/>
                <w:b/>
                <w:color w:val="1E2528"/>
                <w:sz w:val="16"/>
              </w:rPr>
              <w:t>Welche organisatorische Alternative erfüllt denselben Bedarf?</w:t>
            </w:r>
          </w:p>
        </w:tc>
        <w:tc>
          <w:tcPr>
            <w:tcW w:type="dxa" w:w="5214"/>
            <w:vAlign w:val="center"/>
            <w:tcMar>
              <w:top w:w="90" w:type="dxa"/>
              <w:start w:w="120" w:type="dxa"/>
              <w:bottom w:w="90" w:type="dxa"/>
              <w:end w:w="120" w:type="dxa"/>
            </w:tcMar>
            <w:shd w:fill="EFF2F3"/>
          </w:tcPr>
          <w:p>
            <w:pPr>
              <w:spacing w:after="0" w:line="259" w:lineRule="auto"/>
            </w:pPr>
            <w:r>
              <w:rPr>
                <w:rFonts w:ascii="DejaVu Sans" w:hAnsi="DejaVu Sans" w:eastAsia="DejaVu Sans"/>
                <w:b w:val="0"/>
                <w:color w:val="1E2528"/>
                <w:sz w:val="16"/>
              </w:rPr>
            </w:r>
          </w:p>
        </w:tc>
      </w:tr>
      <w:tr>
        <w:trPr>
          <w:cantSplit/>
          <w:trHeight w:val="520" w:hRule="atLeast"/>
        </w:trPr>
        <w:tc>
          <w:tcPr>
            <w:tcW w:type="dxa" w:w="5010"/>
            <w:vAlign w:val="center"/>
            <w:tcMar>
              <w:top w:w="90" w:type="dxa"/>
              <w:start w:w="120" w:type="dxa"/>
              <w:bottom w:w="90" w:type="dxa"/>
              <w:end w:w="120" w:type="dxa"/>
            </w:tcMar>
          </w:tcPr>
          <w:p>
            <w:pPr>
              <w:spacing w:after="0" w:line="259" w:lineRule="auto"/>
            </w:pPr>
            <w:r>
              <w:rPr>
                <w:rFonts w:ascii="DejaVu Sans" w:hAnsi="DejaVu Sans" w:eastAsia="DejaVu Sans"/>
                <w:b/>
                <w:color w:val="1E2528"/>
                <w:sz w:val="16"/>
              </w:rPr>
              <w:t>Welche Änderung rechtfertigt eine Wiederaufnahme, ohne das erste Nein auszulöschen?</w:t>
            </w:r>
          </w:p>
        </w:tc>
        <w:tc>
          <w:tcPr>
            <w:tcW w:type="dxa" w:w="5214"/>
            <w:vAlign w:val="center"/>
            <w:tcMar>
              <w:top w:w="90" w:type="dxa"/>
              <w:start w:w="120" w:type="dxa"/>
              <w:bottom w:w="90" w:type="dxa"/>
              <w:end w:w="120" w:type="dxa"/>
            </w:tcMar>
          </w:tcPr>
          <w:p>
            <w:pPr>
              <w:spacing w:after="0" w:line="259" w:lineRule="auto"/>
            </w:pPr>
            <w:r>
              <w:rPr>
                <w:rFonts w:ascii="DejaVu Sans" w:hAnsi="DejaVu Sans" w:eastAsia="DejaVu Sans"/>
                <w:b w:val="0"/>
                <w:color w:val="1E2528"/>
                <w:sz w:val="16"/>
              </w:rPr>
            </w:r>
          </w:p>
        </w:tc>
      </w:tr>
    </w:tbl>
    <w:p>
      <w:pPr>
        <w:spacing w:after="0"/>
      </w:pPr>
    </w:p>
    <w:sectPr w:rsidR="00FC693F" w:rsidRPr="0006063C" w:rsidSect="00034616">
      <w:headerReference w:type="default" r:id="rId9"/>
      <w:footerReference w:type="default" r:id="rId10"/>
      <w:footerReference w:type="first" r:id="rId11"/>
      <w:headerReference w:type="first" r:id="rId14"/>
      <w:headerReference w:type="even" r:id="rId15"/>
      <w:footerReference w:type="even" r:id="rId16"/>
      <w:pgSz w:w="12240" w:h="15840"/>
      <w:pgMar w:top="1008" w:right="1008" w:bottom="1008" w:left="1008" w:header="432" w:footer="432"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10152" w:val="left"/>
      </w:tabs>
      <w:spacing w:before="0" w:after="0"/>
    </w:pPr>
    <w:r>
      <w:rPr>
        <w:rFonts w:ascii="DejaVu Sans" w:hAnsi="DejaVu Sans" w:eastAsia="DejaVu Sans"/>
        <w:color w:val="5D6870"/>
        <w:sz w:val="14"/>
      </w:rPr>
      <w:t>2050 - DE-DE-R1 - LETTER - Stand der deutschen Ausgabe - Juli 2026</w:t>
    </w:r>
    <w:r>
      <w:tab/>
    </w:r>
    <w:r>
      <w:rPr>
        <w:rFonts w:ascii="DejaVu Sans" w:hAnsi="DejaVu Sans" w:eastAsia="DejaVu Sans"/>
        <w:color w:val="5D6870"/>
        <w:sz w:val="16"/>
      </w:rPr>
      <w:fldChar w:fldCharType="begin"/>
      <w:instrText xml:space="preserve"> PAGE </w:instrText>
      <w:fldChar w:fldCharType="separate"/>
      <w:t>1</w:t>
      <w:fldChar w:fldCharType="end"/>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DejaVu Sans" w:hAnsi="DejaVu Sans" w:eastAsia="DejaVu Sans"/>
        <w:color w:val="5D6870"/>
        <w:sz w:val="15"/>
      </w:rPr>
      <w:t>https://www.corneritaliano.com/de/2050/ressourcen/</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10152" w:val="left"/>
      </w:tabs>
      <w:spacing w:before="0" w:after="0"/>
    </w:pPr>
    <w:r>
      <w:rPr>
        <w:rFonts w:ascii="DejaVu Sans" w:hAnsi="DejaVu Sans" w:eastAsia="DejaVu Sans"/>
        <w:color w:val="5D6870"/>
        <w:sz w:val="14"/>
      </w:rPr>
      <w:t>2050 - DE-DE-R1 - LETTER - Stand der deutschen Ausgabe - Juli 2026</w:t>
    </w:r>
    <w:r>
      <w:tab/>
    </w:r>
    <w:r>
      <w:rPr>
        <w:rFonts w:ascii="DejaVu Sans" w:hAnsi="DejaVu Sans" w:eastAsia="DejaVu Sans"/>
        <w:color w:val="5D6870"/>
        <w:sz w:val="16"/>
      </w:rPr>
      <w:fldChar w:fldCharType="begin"/>
      <w:instrText xml:space="preserve"> PAGE </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left"/>
    </w:pPr>
    <w:r>
      <w:rPr>
        <w:rFonts w:ascii="DejaVu Sans" w:hAnsi="DejaVu Sans" w:eastAsia="DejaVu Sans"/>
        <w:b/>
        <w:color w:val="B54B2A"/>
        <w:sz w:val="15"/>
      </w:rPr>
      <w:t xml:space="preserve">2050  |  OFFIZIELLE RESSOURCEN  |  </w:t>
    </w:r>
    <w:r>
      <w:rPr>
        <w:rFonts w:ascii="DejaVu Sans" w:hAnsi="DejaVu Sans" w:eastAsia="DejaVu Sans"/>
        <w:color w:val="5D6870"/>
        <w:sz w:val="15"/>
      </w:rPr>
      <w:t>Fall Davide - Vollständige Akte</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header3.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left"/>
    </w:pPr>
    <w:r>
      <w:rPr>
        <w:rFonts w:ascii="DejaVu Sans" w:hAnsi="DejaVu Sans" w:eastAsia="DejaVu Sans"/>
        <w:b/>
        <w:color w:val="B54B2A"/>
        <w:sz w:val="15"/>
      </w:rPr>
      <w:t xml:space="preserve">2050  |  OFFIZIELLE RESSOURCEN  |  </w:t>
    </w:r>
    <w:r>
      <w:rPr>
        <w:rFonts w:ascii="DejaVu Sans" w:hAnsi="DejaVu Sans" w:eastAsia="DejaVu Sans"/>
        <w:color w:val="5D6870"/>
        <w:sz w:val="15"/>
      </w:rPr>
      <w:t>Fall Davide - Vollständige Akte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before="0" w:after="100" w:line="283" w:lineRule="auto"/>
    </w:pPr>
    <w:rPr>
      <w:rFonts w:ascii="DejaVu Sans" w:hAnsi="DejaVu Sans"/>
      <w:color w:val="1E2528"/>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DejaVu Sans" w:hAnsi="DejaVu Sans"/>
      <w:b/>
      <w:bCs/>
      <w:color w:val="123044"/>
      <w:sz w:val="34"/>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DejaVu Sans" w:hAnsi="DejaVu Sans"/>
      <w:b/>
      <w:bCs/>
      <w:color w:val="B54B2A"/>
      <w:sz w:val="25"/>
      <w:szCs w:val="26"/>
    </w:rPr>
  </w:style>
  <w:style w:type="paragraph" w:styleId="Heading3">
    <w:name w:val="heading 3"/>
    <w:basedOn w:val="Normal"/>
    <w:next w:val="Normal"/>
    <w:link w:val="Heading3Char"/>
    <w:uiPriority w:val="9"/>
    <w:unhideWhenUsed/>
    <w:qFormat/>
    <w:rsid w:val="00FC693F"/>
    <w:pPr>
      <w:keepNext/>
      <w:keepLines/>
      <w:spacing w:before="180" w:after="80"/>
      <w:outlineLvl w:val="2"/>
    </w:pPr>
    <w:rPr>
      <w:rFonts w:asciiTheme="majorHAnsi" w:eastAsiaTheme="majorEastAsia" w:hAnsiTheme="majorHAnsi" w:cstheme="majorBidi" w:ascii="DejaVu Sans" w:hAnsi="DejaVu Sans"/>
      <w:b/>
      <w:bCs/>
      <w:color w:val="234C61"/>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60" w:line="240" w:lineRule="auto" w:before="0"/>
      <w:contextualSpacing/>
    </w:pPr>
    <w:rPr>
      <w:rFonts w:asciiTheme="majorHAnsi" w:eastAsiaTheme="majorEastAsia" w:hAnsiTheme="majorHAnsi" w:cstheme="majorBidi" w:ascii="DejaVu Sans" w:hAnsi="DejaVu Sans"/>
      <w:b/>
      <w:color w:val="123044"/>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before="0" w:after="240"/>
    </w:pPr>
    <w:rPr>
      <w:rFonts w:asciiTheme="majorHAnsi" w:eastAsiaTheme="majorEastAsia" w:hAnsiTheme="majorHAnsi" w:cstheme="majorBidi" w:ascii="DejaVu Sans" w:hAnsi="DejaVu Sans"/>
      <w:b w:val="0"/>
      <w:i/>
      <w:iCs/>
      <w:color w:val="5D6870"/>
      <w:spacing w:val="15"/>
      <w:sz w:val="26"/>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footer" Target="footer2.xml"/><Relationship Id="rId12" Type="http://schemas.openxmlformats.org/officeDocument/2006/relationships/image" Target="media/image1.png"/><Relationship Id="rId13" Type="http://schemas.openxmlformats.org/officeDocument/2006/relationships/hyperlink" Target="https://www.corneritaliano.com/de/2050/ressourcen/" TargetMode="External"/><Relationship Id="rId14" Type="http://schemas.openxmlformats.org/officeDocument/2006/relationships/header" Target="header2.xml"/><Relationship Id="rId15" Type="http://schemas.openxmlformats.org/officeDocument/2006/relationships/header" Target="header3.xml"/><Relationship Id="rId16"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Fall Davide - Vollständige Akte</dc:title>
  <dc:subject>Ressource complémentaire officielle de 2050</dc:subject>
  <dc:creator>Corner Italiano LLC</dc:creator>
  <cp:keywords>2050, intelligence artificielle, Test 2050, ressources</cp:keywords>
  <dc:description>generated by python-docx</dc:description>
  <cp:lastModifiedBy>Corner Italiano LLC</cp:lastModifiedBy>
  <cp:revision>1</cp:revision>
  <dcterms:created xsi:type="dcterms:W3CDTF">2013-12-23T23:15:00Z</dcterms:created>
  <dcterms:modified xsi:type="dcterms:W3CDTF">2013-12-23T23:15:00Z</dcterms:modified>
  <cp:category/>
</cp:coreProperties>
</file>