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Logo éditorial de Corner Italian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DejaVu Sans" w:hAnsi="DejaVu Sans" w:eastAsia="DejaVu Sans"/>
          <w:b/>
          <w:color w:val="B54B2A"/>
          <w:sz w:val="17"/>
        </w:rPr>
        <w:t>CORNER ITALIANO  |  OFFIZIELLE RESSOURCEN</w:t>
      </w:r>
    </w:p>
    <w:p>
      <w:pPr>
        <w:pStyle w:val="Title"/>
        <w:jc w:val="center"/>
      </w:pPr>
      <w:r>
        <w:rPr>
          <w:rFonts w:ascii="DejaVu Sans" w:hAnsi="DejaVu Sans" w:eastAsia="DejaVu Sans"/>
          <w:b/>
          <w:color w:val="123044"/>
          <w:sz w:val="56"/>
        </w:rPr>
        <w:t>Vollständiges Glossar</w:t>
      </w:r>
    </w:p>
    <w:p>
      <w:pPr>
        <w:pStyle w:val="Subtitle"/>
        <w:jc w:val="center"/>
      </w:pPr>
      <w:r>
        <w:rPr>
          <w:rFonts w:ascii="DejaVu Sans" w:hAnsi="DejaVu Sans" w:eastAsia="DejaVu Sans"/>
          <w:color w:val="5D6870"/>
          <w:sz w:val="25"/>
        </w:rPr>
        <w:t>Technische Begriffe, operative Konzepte und eigenständige Vorschläge des Buches</w:t>
      </w:r>
    </w:p>
    <w:p>
      <w:pPr>
        <w:spacing w:before="440"/>
        <w:jc w:val="center"/>
      </w:pPr>
      <w:r>
        <w:rPr>
          <w:rFonts w:ascii="DejaVu Sans" w:hAnsi="DejaVu Sans" w:eastAsia="DejaVu Sans"/>
          <w:b/>
          <w:color w:val="B54B2A"/>
          <w:sz w:val="17"/>
        </w:rPr>
        <w:t>NACHSCHLAGEWERK</w:t>
      </w:r>
    </w:p>
    <w:p>
      <w:pPr>
        <w:jc w:val="center"/>
      </w:pPr>
      <w:r>
        <w:rPr>
          <w:rFonts w:ascii="DejaVu Sans" w:hAnsi="DejaVu Sans" w:eastAsia="DejaVu Sans"/>
          <w:color w:val="234C61"/>
          <w:sz w:val="19"/>
        </w:rPr>
        <w:t>Stand der deutschen Ausgabe - Juli 2026 - Format US Letter (8,5 x 11 Zoll)</w:t>
      </w:r>
    </w:p>
    <w:p>
      <w:pPr>
        <w:spacing w:before="360"/>
        <w:jc w:val="center"/>
      </w:pPr>
      <w:hyperlink r:id="rId13">
        <w:r>
          <w:rPr>
            <w:rFonts w:ascii="DejaVu Sans" w:hAnsi="DejaVu Sans" w:eastAsia="DejaVu Sans"/>
            <w:color w:val="234C61"/>
            <w:u w:val="single"/>
            <w:sz w:val="18"/>
          </w:rPr>
          <w:t>https://www.corneritaliano.com/de/2050/ressourcen/</w:t>
        </w:r>
      </w:hyperlink>
    </w:p>
    <w:p>
      <w:r>
        <w:br w:type="page"/>
      </w:r>
    </w:p>
    <w:tbl>
      <w:tblPr>
        <w:tblW w:type="dxa" w:w="10224"/>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10224"/>
      </w:tblGrid>
      <w:tr>
        <w:trPr>
          <w:cantSplit/>
        </w:trPr>
        <w:tc>
          <w:tcPr>
            <w:tcW w:type="dxa" w:w="10224"/>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GELTUNGSBEREICH  </w:t>
            </w:r>
            <w:r>
              <w:rPr>
                <w:rFonts w:ascii="DejaVu Sans" w:hAnsi="DejaVu Sans" w:eastAsia="DejaVu Sans"/>
                <w:color w:val="1E2528"/>
                <w:sz w:val="18"/>
              </w:rPr>
              <w:t>Nachschlagewerk zu den technischen Begriffen des Buches, erklärt anhand dessen, was sie im Alltag verändern. Die Definitionen ersetzen weder Standards noch Normen oder Fachhandbücher; sie erläutern die Bedeutung, in der die Wörter auf diesen Seiten verwendet werden.</w:t>
            </w:r>
          </w:p>
        </w:tc>
      </w:tr>
    </w:tbl>
    <w:p>
      <w:pPr>
        <w:spacing w:after="0"/>
      </w:pPr>
    </w:p>
    <w:p>
      <w:pPr>
        <w:keepNext/>
        <w:spacing w:before="80" w:after="20"/>
      </w:pPr>
      <w:r>
        <w:rPr>
          <w:rFonts w:ascii="DejaVu Sans" w:hAnsi="DejaVu Sans" w:eastAsia="DejaVu Sans"/>
          <w:b/>
          <w:color w:val="123044"/>
          <w:sz w:val="20"/>
        </w:rPr>
        <w:t>Künstliche Intelligenz (KI)</w:t>
      </w:r>
    </w:p>
    <w:p>
      <w:pPr>
        <w:spacing w:after="40"/>
      </w:pPr>
      <w:r>
        <w:rPr>
          <w:rFonts w:ascii="DejaVu Sans" w:hAnsi="DejaVu Sans" w:eastAsia="DejaVu Sans"/>
          <w:color w:val="1E2528"/>
          <w:sz w:val="18"/>
        </w:rPr>
        <w:t>Sammelbegriff für Techniken, mit denen ein System Aufgaben ausführt, die mit menschlichen Fähigkeiten verbunden werden, etwa Erkennen, Vorhersagen, Übersetzen, Empfehlen oder Erzeugen. Eine überzeugende Leistung beweist für sich genommen weder Bewusstsein noch Erleben noch Verständnis.</w:t>
      </w:r>
    </w:p>
    <w:p>
      <w:pPr>
        <w:keepNext/>
        <w:spacing w:before="80" w:after="20"/>
      </w:pPr>
      <w:r>
        <w:rPr>
          <w:rFonts w:ascii="DejaVu Sans" w:hAnsi="DejaVu Sans" w:eastAsia="DejaVu Sans"/>
          <w:b/>
          <w:color w:val="123044"/>
          <w:sz w:val="20"/>
        </w:rPr>
        <w:t>Maschinelles Lernen</w:t>
      </w:r>
    </w:p>
    <w:p>
      <w:pPr>
        <w:spacing w:after="40"/>
      </w:pPr>
      <w:r>
        <w:rPr>
          <w:rFonts w:ascii="DejaVu Sans" w:hAnsi="DejaVu Sans" w:eastAsia="DejaVu Sans"/>
          <w:color w:val="1E2528"/>
          <w:sz w:val="18"/>
        </w:rPr>
        <w:t>Ansatz, bei dem ein Modell seine Parameter anhand von Beispielen verändert, statt ausschließlich einzeln formulierte Regeln zu erhalten. Was es lernt, hängt von der Fragestellung, den Daten und den Kriterien ab, mit denen es bewertet wird.</w:t>
      </w:r>
    </w:p>
    <w:p>
      <w:pPr>
        <w:keepNext/>
        <w:spacing w:before="80" w:after="20"/>
      </w:pPr>
      <w:r>
        <w:rPr>
          <w:rFonts w:ascii="DejaVu Sans" w:hAnsi="DejaVu Sans" w:eastAsia="DejaVu Sans"/>
          <w:b/>
          <w:color w:val="123044"/>
          <w:sz w:val="20"/>
        </w:rPr>
        <w:t>Deep Learning und neuronale Netze</w:t>
      </w:r>
    </w:p>
    <w:p>
      <w:pPr>
        <w:spacing w:after="40"/>
      </w:pPr>
      <w:r>
        <w:rPr>
          <w:rFonts w:ascii="DejaVu Sans" w:hAnsi="DejaVu Sans" w:eastAsia="DejaVu Sans"/>
          <w:color w:val="1E2528"/>
          <w:sz w:val="18"/>
        </w:rPr>
        <w:t>Ein neuronales Netz ist eine mathematische Struktur aus verbundenen Einheiten und Parametern, die während des Trainings verändert werden. Deep Learning nutzt Netze mit vielen Schichten, um nützliche Darstellungen von Bildern, Sprache, Text und anderen Signalen aufzubauen. Der Name erinnert an das Gehirn, bedeutet aber nicht, dass sich im Computer ein kleines Gehirn befindet.</w:t>
      </w:r>
    </w:p>
    <w:p>
      <w:pPr>
        <w:keepNext/>
        <w:spacing w:before="80" w:after="20"/>
      </w:pPr>
      <w:r>
        <w:rPr>
          <w:rFonts w:ascii="DejaVu Sans" w:hAnsi="DejaVu Sans" w:eastAsia="DejaVu Sans"/>
          <w:b/>
          <w:color w:val="123044"/>
          <w:sz w:val="20"/>
        </w:rPr>
        <w:t>Transformer-Architektur</w:t>
      </w:r>
    </w:p>
    <w:p>
      <w:pPr>
        <w:spacing w:after="40"/>
      </w:pPr>
      <w:r>
        <w:rPr>
          <w:rFonts w:ascii="DejaVu Sans" w:hAnsi="DejaVu Sans" w:eastAsia="DejaVu Sans"/>
          <w:color w:val="1E2528"/>
          <w:sz w:val="18"/>
        </w:rPr>
        <w:t>Architektur, die nach dem 2017 veröffentlichten Aufsatz Attention Is All You Need besonders einflussreich wurde. Sie nutzt Selbstaufmerksamkeit, um Beziehungen zwischen Positionen einer Sequenz zu gewichten, und kann während des Trainings viele Positionen parallel verarbeiten. Sie liest einen Text nicht so, wie ein Mensch ihn liest.</w:t>
      </w:r>
    </w:p>
    <w:p>
      <w:pPr>
        <w:keepNext/>
        <w:spacing w:before="80" w:after="20"/>
      </w:pPr>
      <w:r>
        <w:rPr>
          <w:rFonts w:ascii="DejaVu Sans" w:hAnsi="DejaVu Sans" w:eastAsia="DejaVu Sans"/>
          <w:b/>
          <w:color w:val="123044"/>
          <w:sz w:val="20"/>
        </w:rPr>
        <w:t>Großes Sprachmodell (LLM)</w:t>
      </w:r>
    </w:p>
    <w:p>
      <w:pPr>
        <w:spacing w:after="40"/>
      </w:pPr>
      <w:r>
        <w:rPr>
          <w:rFonts w:ascii="DejaVu Sans" w:hAnsi="DejaVu Sans" w:eastAsia="DejaVu Sans"/>
          <w:color w:val="1E2528"/>
          <w:sz w:val="18"/>
        </w:rPr>
        <w:t>Neuronales Modell, das anhand großer Textsammlungen trainiert wird, um mögliche nächste Tokens im vorhandenen Kontext einzuschätzen. Bei der Erzeugung wird nicht zwingend in jedem Schritt die wahrscheinlichste Option gewählt: Anweisungen, Kontext, Auswahlverfahren und spätere Trainingsphasen wirken ebenfalls mit. Sprachliche Flüssigkeit garantiert weder Wahrheit noch Verständnis.</w:t>
      </w:r>
    </w:p>
    <w:p>
      <w:pPr>
        <w:keepNext/>
        <w:spacing w:before="80" w:after="20"/>
      </w:pPr>
      <w:r>
        <w:rPr>
          <w:rFonts w:ascii="DejaVu Sans" w:hAnsi="DejaVu Sans" w:eastAsia="DejaVu Sans"/>
          <w:b/>
          <w:color w:val="123044"/>
          <w:sz w:val="20"/>
        </w:rPr>
        <w:t>Token</w:t>
      </w:r>
    </w:p>
    <w:p>
      <w:pPr>
        <w:spacing w:after="40"/>
      </w:pPr>
      <w:r>
        <w:rPr>
          <w:rFonts w:ascii="DejaVu Sans" w:hAnsi="DejaVu Sans" w:eastAsia="DejaVu Sans"/>
          <w:color w:val="1E2528"/>
          <w:sz w:val="18"/>
        </w:rPr>
        <w:t>Konventionelle Einheit, in die ein Modell Text zerlegt: ein Wort, ein Wortteil, ein Satzzeichen oder ein anderes Segment. In diesem Buch wird der Begriff ausschließlich in seiner sprachlichen Bedeutung verwendet.</w:t>
      </w:r>
    </w:p>
    <w:p>
      <w:pPr>
        <w:keepNext/>
        <w:spacing w:before="80" w:after="20"/>
      </w:pPr>
      <w:r>
        <w:rPr>
          <w:rFonts w:ascii="DejaVu Sans" w:hAnsi="DejaVu Sans" w:eastAsia="DejaVu Sans"/>
          <w:b/>
          <w:color w:val="123044"/>
          <w:sz w:val="20"/>
        </w:rPr>
        <w:t>Trainingsdaten und Datensätze</w:t>
      </w:r>
    </w:p>
    <w:p>
      <w:pPr>
        <w:spacing w:after="40"/>
      </w:pPr>
      <w:r>
        <w:rPr>
          <w:rFonts w:ascii="DejaVu Sans" w:hAnsi="DejaVu Sans" w:eastAsia="DejaVu Sans"/>
          <w:color w:val="1E2528"/>
          <w:sz w:val="18"/>
        </w:rPr>
        <w:t>Ein Datensatz ist eine geordnete Sammlung für Analyse, Training oder Bewertung; Trainingsdaten sind die Beispiele, mit denen Modellparameter verändert werden. Abdeckung, Herkunft, Kennzeichnungen und Auslassungen beruhen auf Entscheidungen darüber, was beobachtet, aufgenommen und ausgeschlossen wird, und beeinflussen sowohl Fähigkeiten als auch Fehler.</w:t>
      </w:r>
    </w:p>
    <w:p>
      <w:pPr>
        <w:keepNext/>
        <w:spacing w:before="80" w:after="20"/>
      </w:pPr>
      <w:r>
        <w:rPr>
          <w:rFonts w:ascii="DejaVu Sans" w:hAnsi="DejaVu Sans" w:eastAsia="DejaVu Sans"/>
          <w:b/>
          <w:color w:val="123044"/>
          <w:sz w:val="20"/>
        </w:rPr>
        <w:t>Halluzination</w:t>
      </w:r>
    </w:p>
    <w:p>
      <w:pPr>
        <w:spacing w:after="40"/>
      </w:pPr>
      <w:r>
        <w:rPr>
          <w:rFonts w:ascii="DejaVu Sans" w:hAnsi="DejaVu Sans" w:eastAsia="DejaVu Sans"/>
          <w:color w:val="1E2528"/>
          <w:sz w:val="18"/>
        </w:rPr>
        <w:t>Plausible, aber falsche oder unbelegte Antwort, die mit derselben sprachlichen Sicherheit wie eine korrekte Information erzeugt wird. Der gebräuchliche Ausdruck bedeutet nicht, dass das System eine Wahrnehmung erlebt.</w:t>
      </w:r>
    </w:p>
    <w:p>
      <w:pPr>
        <w:keepNext/>
        <w:spacing w:before="80" w:after="20"/>
      </w:pPr>
      <w:r>
        <w:rPr>
          <w:rFonts w:ascii="DejaVu Sans" w:hAnsi="DejaVu Sans" w:eastAsia="DejaVu Sans"/>
          <w:b/>
          <w:color w:val="123044"/>
          <w:sz w:val="20"/>
        </w:rPr>
        <w:t>Algorithmus</w:t>
      </w:r>
    </w:p>
    <w:p>
      <w:pPr>
        <w:spacing w:after="40"/>
      </w:pPr>
      <w:r>
        <w:rPr>
          <w:rFonts w:ascii="DejaVu Sans" w:hAnsi="DejaVu Sans" w:eastAsia="DejaVu Sans"/>
          <w:color w:val="1E2528"/>
          <w:sz w:val="18"/>
        </w:rPr>
        <w:t>Verfahren aus Schritten oder Regeln, das Daten verarbeitet und ein Ergebnis erzeugt. Auch ein formalisiertes Verfahren enthält Entscheidungen über Ziele, Kategorien, Schwellenwerte und Ausnahmen.</w:t>
      </w:r>
    </w:p>
    <w:p>
      <w:pPr>
        <w:keepNext/>
        <w:spacing w:before="80" w:after="20"/>
      </w:pPr>
      <w:r>
        <w:rPr>
          <w:rFonts w:ascii="DejaVu Sans" w:hAnsi="DejaVu Sans" w:eastAsia="DejaVu Sans"/>
          <w:b/>
          <w:color w:val="123044"/>
          <w:sz w:val="20"/>
        </w:rPr>
        <w:t>Algorithmische Verzerrung (Bias)</w:t>
      </w:r>
    </w:p>
    <w:p>
      <w:pPr>
        <w:spacing w:after="40"/>
      </w:pPr>
      <w:r>
        <w:rPr>
          <w:rFonts w:ascii="DejaVu Sans" w:hAnsi="DejaVu Sans" w:eastAsia="DejaVu Sans"/>
          <w:color w:val="1E2528"/>
          <w:sz w:val="18"/>
        </w:rPr>
        <w:t>Systematische Verzerrung, die aus Daten, Kennzeichnungen, Zielen oder dem Nutzungskontext entstehen und Menschen oder Gruppen ungleich betreffen kann.</w:t>
      </w:r>
    </w:p>
    <w:p>
      <w:pPr>
        <w:keepNext/>
        <w:spacing w:before="80" w:after="20"/>
      </w:pPr>
      <w:r>
        <w:rPr>
          <w:rFonts w:ascii="DejaVu Sans" w:hAnsi="DejaVu Sans" w:eastAsia="DejaVu Sans"/>
          <w:b/>
          <w:color w:val="123044"/>
          <w:sz w:val="20"/>
        </w:rPr>
        <w:t>Profiling</w:t>
      </w:r>
    </w:p>
    <w:p>
      <w:pPr>
        <w:spacing w:after="40"/>
      </w:pPr>
      <w:r>
        <w:rPr>
          <w:rFonts w:ascii="DejaVu Sans" w:hAnsi="DejaVu Sans" w:eastAsia="DejaVu Sans"/>
          <w:color w:val="1E2528"/>
          <w:sz w:val="18"/>
        </w:rPr>
        <w:t>Verarbeitung von Daten, um Aspekte einer Person wie Vorlieben, Verhalten, Zuverlässigkeit oder Risiko zu bewerten oder vorherzusagen. Zulässigkeit und Grenzen hängen vom Kontext und den anwendbaren Regeln ab.</w:t>
      </w:r>
    </w:p>
    <w:p>
      <w:pPr>
        <w:keepNext/>
        <w:spacing w:before="80" w:after="20"/>
      </w:pPr>
      <w:r>
        <w:rPr>
          <w:rFonts w:ascii="DejaVu Sans" w:hAnsi="DejaVu Sans" w:eastAsia="DejaVu Sans"/>
          <w:b/>
          <w:color w:val="123044"/>
          <w:sz w:val="20"/>
        </w:rPr>
        <w:t>Prädiktive Überwachung</w:t>
      </w:r>
    </w:p>
    <w:p>
      <w:pPr>
        <w:spacing w:after="40"/>
      </w:pPr>
      <w:r>
        <w:rPr>
          <w:rFonts w:ascii="DejaVu Sans" w:hAnsi="DejaVu Sans" w:eastAsia="DejaVu Sans"/>
          <w:color w:val="1E2528"/>
          <w:sz w:val="18"/>
        </w:rPr>
        <w:t>Nutzung von Daten und Modellen, um Verhalten oder Risiken vorherzusagen und Kontrollen oder Eingriffe zu steuern. Sie kann eine Vorhersage in eine gegenwärtige Behandlung einer Person verwandeln und erfordert Begrenzungen, Überprüfung und Anfechtbarkeit.</w:t>
      </w:r>
    </w:p>
    <w:p>
      <w:pPr>
        <w:keepNext/>
        <w:spacing w:before="80" w:after="20"/>
      </w:pPr>
      <w:r>
        <w:rPr>
          <w:rFonts w:ascii="DejaVu Sans" w:hAnsi="DejaVu Sans" w:eastAsia="DejaVu Sans"/>
          <w:b/>
          <w:color w:val="123044"/>
          <w:sz w:val="20"/>
        </w:rPr>
        <w:t>Nicht erfasstes Intervall</w:t>
      </w:r>
    </w:p>
    <w:p>
      <w:pPr>
        <w:spacing w:after="40"/>
      </w:pPr>
      <w:r>
        <w:rPr>
          <w:rFonts w:ascii="DejaVu Sans" w:hAnsi="DejaVu Sans" w:eastAsia="DejaVu Sans"/>
          <w:color w:val="1E2528"/>
          <w:sz w:val="18"/>
        </w:rPr>
        <w:t>Zeitlicher Freiraum, in dem ein Mensch zögern, sich widersprechen oder sich verändern kann, ohne dass jede Veränderung sofort ein operatives Profil erzeugt. Es ist weder ein völlig technikfreier Raum noch eine Garantie für Freiheit: Kontinuierliche Datenerhebung braucht einen klar benannten Schaden, einen legitimen und verhältnismäßigen Zweck sowie eine überprüfbare Frist.</w:t>
      </w:r>
    </w:p>
    <w:p>
      <w:pPr>
        <w:keepNext/>
        <w:spacing w:before="80" w:after="20"/>
      </w:pPr>
      <w:r>
        <w:rPr>
          <w:rFonts w:ascii="DejaVu Sans" w:hAnsi="DejaVu Sans" w:eastAsia="DejaVu Sans"/>
          <w:b/>
          <w:color w:val="123044"/>
          <w:sz w:val="20"/>
        </w:rPr>
        <w:t>Verteiltes Register oder Blockchain</w:t>
      </w:r>
    </w:p>
    <w:p>
      <w:pPr>
        <w:spacing w:after="40"/>
      </w:pPr>
      <w:r>
        <w:rPr>
          <w:rFonts w:ascii="DejaVu Sans" w:hAnsi="DejaVu Sans" w:eastAsia="DejaVu Sans"/>
          <w:color w:val="1E2528"/>
          <w:sz w:val="18"/>
        </w:rPr>
        <w:t>Ein verteiltes Register hält einen gemeinsam genutzten Zustand zwischen mehreren Beteiligten fest; eine Blockchain ist eine mögliche Struktur dafür. Sie kann unabhängige Organisationen ohne eine einzige Betreiberstelle koordinieren, macht eingegebene Daten aber nicht wahr, beseitigt Vertrauen nicht und ist für digitale Identität, verifizierbare Nachweise oder selektive Offenlegung nicht zwingend erforderlich.</w:t>
      </w:r>
    </w:p>
    <w:p>
      <w:pPr>
        <w:keepNext/>
        <w:spacing w:before="80" w:after="20"/>
      </w:pPr>
      <w:r>
        <w:rPr>
          <w:rFonts w:ascii="DejaVu Sans" w:hAnsi="DejaVu Sans" w:eastAsia="DejaVu Sans"/>
          <w:b/>
          <w:color w:val="123044"/>
          <w:sz w:val="20"/>
        </w:rPr>
        <w:t>Verifizierbarer digitaler Nachweis</w:t>
      </w:r>
    </w:p>
    <w:p>
      <w:pPr>
        <w:spacing w:after="40"/>
      </w:pPr>
      <w:r>
        <w:rPr>
          <w:rFonts w:ascii="DejaVu Sans" w:hAnsi="DejaVu Sans" w:eastAsia="DejaVu Sans"/>
          <w:color w:val="1E2528"/>
          <w:sz w:val="18"/>
        </w:rPr>
        <w:t>Bescheinigung aus einschlägigen Attributen, die von einer verantwortlichen Stelle ausgestellt und so geschützt wird, dass eine prüfende Stelle Herkunft und Integrität kontrollieren kann. Die technische Prüfung macht eine falsche Angabe nicht wahr: Vertrauenswürdigkeit der ausstellenden Stelle, Verfahren, Status sowie Korrektur- und Widerrufsmöglichkeiten bleiben entscheidend.</w:t>
      </w:r>
    </w:p>
    <w:p>
      <w:pPr>
        <w:keepNext/>
        <w:spacing w:before="80" w:after="20"/>
      </w:pPr>
      <w:r>
        <w:rPr>
          <w:rFonts w:ascii="DejaVu Sans" w:hAnsi="DejaVu Sans" w:eastAsia="DejaVu Sans"/>
          <w:b/>
          <w:color w:val="123044"/>
          <w:sz w:val="20"/>
        </w:rPr>
        <w:t>Selektive Offenlegung</w:t>
      </w:r>
    </w:p>
    <w:p>
      <w:pPr>
        <w:spacing w:after="40"/>
      </w:pPr>
      <w:r>
        <w:rPr>
          <w:rFonts w:ascii="DejaVu Sans" w:hAnsi="DejaVu Sans" w:eastAsia="DejaVu Sans"/>
          <w:color w:val="1E2528"/>
          <w:sz w:val="18"/>
        </w:rPr>
        <w:t>Offenlegung ausschließlich der benötigten Attribute eines verifizierbaren digitalen Nachweises, während die übrigen verborgen bleiben. Sie verringert die Preisgabe überflüssiger Informationen, stellt allein jedoch weder Anonymität sicher noch verhindert sie die Verknüpfung verschiedener Interaktionen.</w:t>
      </w:r>
    </w:p>
    <w:p>
      <w:pPr>
        <w:keepNext/>
        <w:spacing w:before="80" w:after="20"/>
      </w:pPr>
      <w:r>
        <w:rPr>
          <w:rFonts w:ascii="DejaVu Sans" w:hAnsi="DejaVu Sans" w:eastAsia="DejaVu Sans"/>
          <w:b/>
          <w:color w:val="123044"/>
          <w:sz w:val="20"/>
        </w:rPr>
        <w:t>Zero-Knowledge-Beweis</w:t>
      </w:r>
    </w:p>
    <w:p>
      <w:pPr>
        <w:spacing w:after="40"/>
      </w:pPr>
      <w:r>
        <w:rPr>
          <w:rFonts w:ascii="DejaVu Sans" w:hAnsi="DejaVu Sans" w:eastAsia="DejaVu Sans"/>
          <w:color w:val="1E2528"/>
          <w:sz w:val="18"/>
        </w:rPr>
        <w:t>Kryptografischer Beweis, mit dem sich nachweisen lässt, dass eine Information vorhanden oder eine Bedingung erfüllt ist, ohne die zugrunde liegenden Daten offenzulegen. Er ist in bestimmten Kontexten nützlich, ersetzt aber keine solide Architektur für Datenschutz und Verantwortlichkeit.</w:t>
      </w:r>
    </w:p>
    <w:p>
      <w:pPr>
        <w:keepNext/>
        <w:spacing w:before="80" w:after="20"/>
      </w:pPr>
      <w:r>
        <w:rPr>
          <w:rFonts w:ascii="DejaVu Sans" w:hAnsi="DejaVu Sans" w:eastAsia="DejaVu Sans"/>
          <w:b/>
          <w:color w:val="123044"/>
          <w:sz w:val="20"/>
        </w:rPr>
        <w:t>Digitale Wallet (digitale Brieftasche)</w:t>
      </w:r>
    </w:p>
    <w:p>
      <w:pPr>
        <w:spacing w:after="40"/>
      </w:pPr>
      <w:r>
        <w:rPr>
          <w:rFonts w:ascii="DejaVu Sans" w:hAnsi="DejaVu Sans" w:eastAsia="DejaVu Sans"/>
          <w:color w:val="1E2528"/>
          <w:sz w:val="18"/>
        </w:rPr>
        <w:t>Werkzeug, mit dem eine Person digitale Nachweise oder Attribute speichern, vorlegen und verwalten kann. Es muss Sicherheit, Barrierefreiheit, Wiederherstellung, Widerruf, Delegation und erreichbare Unterstützung regeln; persönliche Kontrolle darf nicht zum Alleingelassenwerden werden.</w:t>
      </w:r>
    </w:p>
    <w:p>
      <w:pPr>
        <w:keepNext/>
        <w:spacing w:before="80" w:after="20"/>
      </w:pPr>
      <w:r>
        <w:rPr>
          <w:rFonts w:ascii="DejaVu Sans" w:hAnsi="DejaVu Sans" w:eastAsia="DejaVu Sans"/>
          <w:b/>
          <w:color w:val="123044"/>
          <w:sz w:val="20"/>
        </w:rPr>
        <w:t>Digitale Identität</w:t>
      </w:r>
    </w:p>
    <w:p>
      <w:pPr>
        <w:spacing w:after="40"/>
      </w:pPr>
      <w:r>
        <w:rPr>
          <w:rFonts w:ascii="DejaVu Sans" w:hAnsi="DejaVu Sans" w:eastAsia="DejaVu Sans"/>
          <w:color w:val="1E2528"/>
          <w:sz w:val="18"/>
        </w:rPr>
        <w:t>Gesamtheit der Mittel und Attribute, durch die eine Person oder Organisation in Systemen erkannt wird. Sie ist weder die ganze Person noch ein einziges Konto. Identifikation, Authentifizierung und Autorisierung beantworten unterschiedliche Fragen.</w:t>
      </w:r>
    </w:p>
    <w:p>
      <w:pPr>
        <w:keepNext/>
        <w:spacing w:before="80" w:after="20"/>
      </w:pPr>
      <w:r>
        <w:rPr>
          <w:rFonts w:ascii="DejaVu Sans" w:hAnsi="DejaVu Sans" w:eastAsia="DejaVu Sans"/>
          <w:b/>
          <w:color w:val="123044"/>
          <w:sz w:val="20"/>
        </w:rPr>
        <w:t>Authentifizierung und Autorisierung</w:t>
      </w:r>
    </w:p>
    <w:p>
      <w:pPr>
        <w:spacing w:after="40"/>
      </w:pPr>
      <w:r>
        <w:rPr>
          <w:rFonts w:ascii="DejaVu Sans" w:hAnsi="DejaVu Sans" w:eastAsia="DejaVu Sans"/>
          <w:color w:val="1E2528"/>
          <w:sz w:val="18"/>
        </w:rPr>
        <w:t>Authentifizierung prüft Faktoren, die mit einer behaupteten Identität verbunden sind, etwa einen Nachweis, ein Gerät oder mehrere kombinierte Faktoren. Autorisierung legt fest, was diese Person oder dieses System in einem bestimmten Kontext tun darf. Das Bestehen der ersten Prüfung gewährt nicht automatisch die zweite Befugnis.</w:t>
      </w:r>
    </w:p>
    <w:p>
      <w:pPr>
        <w:keepNext/>
        <w:spacing w:before="80" w:after="20"/>
      </w:pPr>
      <w:r>
        <w:rPr>
          <w:rFonts w:ascii="DejaVu Sans" w:hAnsi="DejaVu Sans" w:eastAsia="DejaVu Sans"/>
          <w:b/>
          <w:color w:val="123044"/>
          <w:sz w:val="20"/>
        </w:rPr>
        <w:t>Interoperabilität und Portabilität</w:t>
      </w:r>
    </w:p>
    <w:p>
      <w:pPr>
        <w:spacing w:after="40"/>
      </w:pPr>
      <w:r>
        <w:rPr>
          <w:rFonts w:ascii="DejaVu Sans" w:hAnsi="DejaVu Sans" w:eastAsia="DejaVu Sans"/>
          <w:color w:val="1E2528"/>
          <w:sz w:val="18"/>
        </w:rPr>
        <w:t>Interoperabilität ermöglicht unterschiedlichen Systemen, Daten auszutauschen und Funktionen oder Nachweise nach gemeinsamen Regeln anzuerkennen. Portabilität hält Daten, Identität, Berechtigungen, Konfigurationen und Register außerhalb der Hauptumgebung nutzbar; ohne Wiederherstellung, Widerruf, Unterstützung und begrenzte Delegation bleibt sie unvollständig. Keine von beiden garantiert allein Kontinuität.</w:t>
      </w:r>
    </w:p>
    <w:p>
      <w:pPr>
        <w:keepNext/>
        <w:spacing w:before="80" w:after="20"/>
      </w:pPr>
      <w:r>
        <w:rPr>
          <w:rFonts w:ascii="DejaVu Sans" w:hAnsi="DejaVu Sans" w:eastAsia="DejaVu Sans"/>
          <w:b/>
          <w:color w:val="123044"/>
          <w:sz w:val="20"/>
        </w:rPr>
        <w:t>Datenminimierung</w:t>
      </w:r>
    </w:p>
    <w:p>
      <w:pPr>
        <w:spacing w:after="40"/>
      </w:pPr>
      <w:r>
        <w:rPr>
          <w:rFonts w:ascii="DejaVu Sans" w:hAnsi="DejaVu Sans" w:eastAsia="DejaVu Sans"/>
          <w:color w:val="1E2528"/>
          <w:sz w:val="18"/>
        </w:rPr>
        <w:t>Grundsatz der DSGVO, nach dem personenbezogene Daten dem Zweck angemessen und erheblich sowie auf das notwendige Maß beschränkt sein müssen.</w:t>
      </w:r>
    </w:p>
    <w:p>
      <w:pPr>
        <w:keepNext/>
        <w:spacing w:before="80" w:after="20"/>
      </w:pPr>
      <w:r>
        <w:rPr>
          <w:rFonts w:ascii="DejaVu Sans" w:hAnsi="DejaVu Sans" w:eastAsia="DejaVu Sans"/>
          <w:b/>
          <w:color w:val="123044"/>
          <w:sz w:val="20"/>
        </w:rPr>
        <w:t>Minimierung des Nachweises</w:t>
      </w:r>
    </w:p>
    <w:p>
      <w:pPr>
        <w:spacing w:after="40"/>
      </w:pPr>
      <w:r>
        <w:rPr>
          <w:rFonts w:ascii="DejaVu Sans" w:hAnsi="DejaVu Sans" w:eastAsia="DejaVu Sans"/>
          <w:color w:val="1E2528"/>
          <w:sz w:val="18"/>
        </w:rPr>
        <w:t>Gestaltungsvorschlag des Buches: Für eine Entscheidung wird nur das nachgewiesen, was erforderlich ist, ohne die gesamte Biografie einer Person offenzulegen. Der Vorschlag überträgt den Grundsatz der Verhältnismäßigkeit auf digitale Prüfverfahren. Siehe auch: Verifizierbarer digitaler Nachweis; Selektive Offenlegung; 2050-Test.</w:t>
      </w:r>
    </w:p>
    <w:p>
      <w:pPr>
        <w:keepNext/>
        <w:spacing w:before="80" w:after="20"/>
      </w:pPr>
      <w:r>
        <w:rPr>
          <w:rFonts w:ascii="DejaVu Sans" w:hAnsi="DejaVu Sans" w:eastAsia="DejaVu Sans"/>
          <w:b/>
          <w:color w:val="123044"/>
          <w:sz w:val="20"/>
        </w:rPr>
        <w:t>Cloud</w:t>
      </w:r>
    </w:p>
    <w:p>
      <w:pPr>
        <w:spacing w:after="40"/>
      </w:pPr>
      <w:r>
        <w:rPr>
          <w:rFonts w:ascii="DejaVu Sans" w:hAnsi="DejaVu Sans" w:eastAsia="DejaVu Sans"/>
          <w:color w:val="1E2528"/>
          <w:sz w:val="18"/>
        </w:rPr>
        <w:t>Gesamtheit entfernter IT-Ressourcen, die Daten und Dienste bereitstellen. Das Wort klingt leicht, doch die Cloud beruht auf Gebäuden, Netzen, Verträgen, Rechtsordnungen, Kompetenzen und Energie.</w:t>
      </w:r>
    </w:p>
    <w:p>
      <w:pPr>
        <w:keepNext/>
        <w:spacing w:before="80" w:after="20"/>
      </w:pPr>
      <w:r>
        <w:rPr>
          <w:rFonts w:ascii="DejaVu Sans" w:hAnsi="DejaVu Sans" w:eastAsia="DejaVu Sans"/>
          <w:b/>
          <w:color w:val="123044"/>
          <w:sz w:val="20"/>
        </w:rPr>
        <w:t>Rechenzentrum</w:t>
      </w:r>
    </w:p>
    <w:p>
      <w:pPr>
        <w:spacing w:after="40"/>
      </w:pPr>
      <w:r>
        <w:rPr>
          <w:rFonts w:ascii="DejaVu Sans" w:hAnsi="DejaVu Sans" w:eastAsia="DejaVu Sans"/>
          <w:color w:val="1E2528"/>
          <w:sz w:val="18"/>
        </w:rPr>
        <w:t>Physische Anlage mit Servern, Netzen, Kühlung und Systemen zur Stromversorgung und Betriebskontinuität. Es bildet einen materiellen, territorialen und organisatorischen Teil der digitalen Infrastruktur.</w:t>
      </w:r>
    </w:p>
    <w:p>
      <w:pPr>
        <w:keepNext/>
        <w:spacing w:before="80" w:after="20"/>
      </w:pPr>
      <w:r>
        <w:rPr>
          <w:rFonts w:ascii="DejaVu Sans" w:hAnsi="DejaVu Sans" w:eastAsia="DejaVu Sans"/>
          <w:b/>
          <w:color w:val="123044"/>
          <w:sz w:val="20"/>
        </w:rPr>
        <w:t>Programmierschnittstelle (API)</w:t>
      </w:r>
    </w:p>
    <w:p>
      <w:pPr>
        <w:spacing w:after="40"/>
      </w:pPr>
      <w:r>
        <w:rPr>
          <w:rFonts w:ascii="DejaVu Sans" w:hAnsi="DejaVu Sans" w:eastAsia="DejaVu Sans"/>
          <w:color w:val="1E2528"/>
          <w:sz w:val="18"/>
        </w:rPr>
        <w:t>Schnittstelle, die festlegt, wie Softwaresysteme einander Daten oder Aktionen anfordern können. APIs erleichtern Integration und schaffen zugleich technische und wirtschaftliche Abhängigkeiten.</w:t>
      </w:r>
    </w:p>
    <w:p>
      <w:pPr>
        <w:keepNext/>
        <w:spacing w:before="80" w:after="20"/>
      </w:pPr>
      <w:r>
        <w:rPr>
          <w:rFonts w:ascii="DejaVu Sans" w:hAnsi="DejaVu Sans" w:eastAsia="DejaVu Sans"/>
          <w:b/>
          <w:color w:val="123044"/>
          <w:sz w:val="20"/>
        </w:rPr>
        <w:t>Internet der Dinge (IoT)</w:t>
      </w:r>
    </w:p>
    <w:p>
      <w:pPr>
        <w:spacing w:after="40"/>
      </w:pPr>
      <w:r>
        <w:rPr>
          <w:rFonts w:ascii="DejaVu Sans" w:hAnsi="DejaVu Sans" w:eastAsia="DejaVu Sans"/>
          <w:color w:val="1E2528"/>
          <w:sz w:val="18"/>
        </w:rPr>
        <w:t>Netz physischer Gegenstände mit Sensoren, Software und Verbindungsmöglichkeiten, die Daten erfassen oder Anweisungen empfangen können, darunter Medizinprodukte, Zähler, Fahrzeuge, Ampeln und Haushaltsgeräte.</w:t>
      </w:r>
    </w:p>
    <w:p>
      <w:pPr>
        <w:keepNext/>
        <w:spacing w:before="80" w:after="20"/>
      </w:pPr>
      <w:r>
        <w:rPr>
          <w:rFonts w:ascii="DejaVu Sans" w:hAnsi="DejaVu Sans" w:eastAsia="DejaVu Sans"/>
          <w:b/>
          <w:color w:val="123044"/>
          <w:sz w:val="20"/>
        </w:rPr>
        <w:t>Deepfake</w:t>
      </w:r>
    </w:p>
    <w:p>
      <w:pPr>
        <w:spacing w:after="40"/>
      </w:pPr>
      <w:r>
        <w:rPr>
          <w:rFonts w:ascii="DejaVu Sans" w:hAnsi="DejaVu Sans" w:eastAsia="DejaVu Sans"/>
          <w:color w:val="1E2528"/>
          <w:sz w:val="18"/>
        </w:rPr>
        <w:t>Synthetisches Bild sowie synthetische Ton- oder Videoaufnahme, die eine reale Person überzeugend nachahmt. Herkunfts- und Bearbeitungsinformationen können die Überprüfung unterstützen, doch kein einzelnes technisches Signal beweist für sich die ganze Wahrheit.</w:t>
      </w:r>
    </w:p>
    <w:p>
      <w:pPr>
        <w:keepNext/>
        <w:spacing w:before="80" w:after="20"/>
      </w:pPr>
      <w:r>
        <w:rPr>
          <w:rFonts w:ascii="DejaVu Sans" w:hAnsi="DejaVu Sans" w:eastAsia="DejaVu Sans"/>
          <w:b/>
          <w:color w:val="123044"/>
          <w:sz w:val="20"/>
        </w:rPr>
        <w:t>Epistemische Erschöpfung</w:t>
      </w:r>
    </w:p>
    <w:p>
      <w:pPr>
        <w:spacing w:after="40"/>
      </w:pPr>
      <w:r>
        <w:rPr>
          <w:rFonts w:ascii="DejaVu Sans" w:hAnsi="DejaVu Sans" w:eastAsia="DejaVu Sans"/>
          <w:color w:val="1E2528"/>
          <w:sz w:val="18"/>
        </w:rPr>
        <w:t>Zustand, in dem der Aufwand zur Rekonstruktion einer Schlussfolgerung so groß wird, dass eine Person ein revidierbares Urteil aussetzt oder auf Teilhabe verzichtet. Sie ist weder Leichtgläubigkeit noch Desinteresse: Sie hängt auch von Schnittstellen, Quellenzugang, verfügbarer Zeit und der Fähigkeit von Institutionen ab, Überprüfung praktisch möglich zu machen.</w:t>
      </w:r>
    </w:p>
    <w:p>
      <w:pPr>
        <w:keepNext/>
        <w:spacing w:before="80" w:after="20"/>
      </w:pPr>
      <w:r>
        <w:rPr>
          <w:rFonts w:ascii="DejaVu Sans" w:hAnsi="DejaVu Sans" w:eastAsia="DejaVu Sans"/>
          <w:b/>
          <w:color w:val="123044"/>
          <w:sz w:val="20"/>
        </w:rPr>
        <w:t>Digitaler Zwilling</w:t>
      </w:r>
    </w:p>
    <w:p>
      <w:pPr>
        <w:spacing w:after="40"/>
      </w:pPr>
      <w:r>
        <w:rPr>
          <w:rFonts w:ascii="DejaVu Sans" w:hAnsi="DejaVu Sans" w:eastAsia="DejaVu Sans"/>
          <w:color w:val="1E2528"/>
          <w:sz w:val="18"/>
        </w:rPr>
        <w:t>Digitale Darstellung eines Gegenstands, Prozesses oder Systems, die anhand von Daten aktualisiert wird, um mögliche Zustände zu beobachten oder zu simulieren. Sie ist nicht zwangsläufig ein Agent, der im Namen einer Person handeln kann.</w:t>
      </w:r>
    </w:p>
    <w:p>
      <w:pPr>
        <w:keepNext/>
        <w:spacing w:before="80" w:after="20"/>
      </w:pPr>
      <w:r>
        <w:rPr>
          <w:rFonts w:ascii="DejaVu Sans" w:hAnsi="DejaVu Sans" w:eastAsia="DejaVu Sans"/>
          <w:b/>
          <w:color w:val="123044"/>
          <w:sz w:val="20"/>
        </w:rPr>
        <w:t>Operativer Zwilling</w:t>
      </w:r>
    </w:p>
    <w:p>
      <w:pPr>
        <w:spacing w:after="40"/>
      </w:pPr>
      <w:r>
        <w:rPr>
          <w:rFonts w:ascii="DejaVu Sans" w:hAnsi="DejaVu Sans" w:eastAsia="DejaVu Sans"/>
          <w:color w:val="1E2528"/>
          <w:sz w:val="18"/>
        </w:rPr>
        <w:t>Vorschlag des Buches: ein Software-Agent, der an eine verantwortliche Person und ein beobachtbares Mandat gebunden ist. Er arbeitet in den Modi Unterstützt, Schlägt vor, Entscheidet oder Führt aus nur innerhalb ausdrücklich festgelegter Aufgaben, Daten, Dauer und Schwellenwerte sowie einer benannten Befugnis zum Stoppen. Als Tutor-Zwilling macht er Arbeitsschritte, Fehler und Alternativen sichtbar, damit Kompetenz wachsen und Hilfebedarf sinken kann. Fähigkeit, Zuverlässigkeit und Befugnis bleiben getrennt.</w:t>
      </w:r>
    </w:p>
    <w:p>
      <w:pPr>
        <w:keepNext/>
        <w:spacing w:before="80" w:after="20"/>
      </w:pPr>
      <w:r>
        <w:rPr>
          <w:rFonts w:ascii="DejaVu Sans" w:hAnsi="DejaVu Sans" w:eastAsia="DejaVu Sans"/>
          <w:b/>
          <w:color w:val="123044"/>
          <w:sz w:val="20"/>
        </w:rPr>
        <w:t>2050-Test</w:t>
      </w:r>
    </w:p>
    <w:p>
      <w:pPr>
        <w:spacing w:after="40"/>
      </w:pPr>
      <w:r>
        <w:rPr>
          <w:rFonts w:ascii="DejaVu Sans" w:hAnsi="DejaVu Sans" w:eastAsia="DejaVu Sans"/>
          <w:color w:val="1E2528"/>
          <w:sz w:val="18"/>
        </w:rPr>
        <w:t>Vom Buch vorgeschlagene nichtkompensatorische Entscheidungsmethode. Sie ordnet Zweck / Mandat / Nachweis / Verteilung / Schaden / Rechtsschutz / Ausstieg. Jede Antwort erhält die Einstufung Ausreichend / Ungeklärt / Blockierend und führt zu Fortfahren / Begrenzen und erproben / Nicht delegieren / Stoppen. Der Test vergibt keine Punktzahl und zertifiziert kein Produkt: Eine blockierende Bedingung wird nicht durch andere Vorteile aufgewogen.</w:t>
      </w:r>
    </w:p>
    <w:p>
      <w:pPr>
        <w:keepNext/>
        <w:spacing w:before="80" w:after="20"/>
      </w:pPr>
      <w:r>
        <w:rPr>
          <w:rFonts w:ascii="DejaVu Sans" w:hAnsi="DejaVu Sans" w:eastAsia="DejaVu Sans"/>
          <w:b/>
          <w:color w:val="123044"/>
          <w:sz w:val="20"/>
        </w:rPr>
        <w:t>Operatives Mandat</w:t>
      </w:r>
    </w:p>
    <w:p>
      <w:pPr>
        <w:spacing w:after="40"/>
      </w:pPr>
      <w:r>
        <w:rPr>
          <w:rFonts w:ascii="DejaVu Sans" w:hAnsi="DejaVu Sans" w:eastAsia="DejaVu Sans"/>
          <w:color w:val="1E2528"/>
          <w:sz w:val="18"/>
        </w:rPr>
        <w:t>Schriftlich festgelegter Rahmen, der einer verantwortlichen Person einen Modus - Unterstützt / Schlägt vor / Entscheidet / Führt aus - zuordnet und Aufgaben, Daten, betroffene Personen, Orte, Dauer, Volumen, Register, Schwellenwerte, verbotene Handlungen und Befugnis zum Stoppen präzisiert. Ändern sich Modell, Daten, Anbieter, Nutzungsumfang, Aufgabe oder Verantwortliche, muss das Mandat begrenzt oder erneut geprüft werden; es ist nicht mit technischer Fähigkeit gleichzusetzen.</w:t>
      </w:r>
    </w:p>
    <w:p>
      <w:pPr>
        <w:keepNext/>
        <w:spacing w:before="80" w:after="20"/>
      </w:pPr>
      <w:r>
        <w:rPr>
          <w:rFonts w:ascii="DejaVu Sans" w:hAnsi="DejaVu Sans" w:eastAsia="DejaVu Sans"/>
          <w:b/>
          <w:color w:val="123044"/>
          <w:sz w:val="20"/>
        </w:rPr>
        <w:t>Technologische Souveränität, strategische Abhängigkeit und Handlungsmacht über die Infrastruktur</w:t>
      </w:r>
    </w:p>
    <w:p>
      <w:pPr>
        <w:spacing w:after="40"/>
      </w:pPr>
      <w:r>
        <w:rPr>
          <w:rFonts w:ascii="DejaVu Sans" w:hAnsi="DejaVu Sans" w:eastAsia="DejaVu Sans"/>
          <w:color w:val="1E2528"/>
          <w:sz w:val="18"/>
        </w:rPr>
        <w:t>Souveränität ist die relative Fähigkeit, Abhängigkeiten zu verstehen, auszuwählen, auszuhandeln und zu ersetzen, nicht Autarkie. Eine Abhängigkeit wird strategisch, wenn sie Handlungsmöglichkeiten verringert, bevor eine praktische Alternative existiert. Handlungsmacht über die Infrastruktur ist die konkrete Befugnis, Schaden zu benennen, auszusetzen, zu korrigieren, zu exportieren und zu ersetzen - nicht bloße Anhörung ohne Folgen.</w:t>
      </w:r>
    </w:p>
    <w:p>
      <w:pPr>
        <w:keepNext/>
        <w:spacing w:before="80" w:after="20"/>
      </w:pPr>
      <w:r>
        <w:rPr>
          <w:rFonts w:ascii="DejaVu Sans" w:hAnsi="DejaVu Sans" w:eastAsia="DejaVu Sans"/>
          <w:b/>
          <w:color w:val="123044"/>
          <w:sz w:val="20"/>
        </w:rPr>
        <w:t>Recht auf Löschung, auch Recht auf Vergessenwerden</w:t>
      </w:r>
    </w:p>
    <w:p>
      <w:pPr>
        <w:spacing w:after="40"/>
      </w:pPr>
      <w:r>
        <w:rPr>
          <w:rFonts w:ascii="DejaVu Sans" w:hAnsi="DejaVu Sans" w:eastAsia="DejaVu Sans"/>
          <w:color w:val="1E2528"/>
          <w:sz w:val="18"/>
        </w:rPr>
        <w:t>Nach der DSGVO das Recht, unter den vorgesehenen Voraussetzungen die Löschung personenbezogener Daten zu verlangen, vorbehaltlich von Grenzen und Ausnahmen. Die DSGVO gilt nicht für Daten Verstorbener; nationale Regeln unterscheiden sich. Eine postmortale digitale Verfügung mit ausdrücklicher Einwilligung, Geltungsbereich, Widerruf zu Lebzeiten und Deaktivierung ist ein Vorschlag des Buches und kein bereits einheitlich geltendes Recht.</w:t>
      </w:r>
    </w:p>
    <w:p>
      <w:pPr>
        <w:keepNext/>
        <w:spacing w:before="80" w:after="20"/>
      </w:pPr>
      <w:r>
        <w:rPr>
          <w:rFonts w:ascii="DejaVu Sans" w:hAnsi="DejaVu Sans" w:eastAsia="DejaVu Sans"/>
          <w:b/>
          <w:color w:val="123044"/>
          <w:sz w:val="20"/>
        </w:rPr>
        <w:t>Authentisches Archiv, Gedenkarchiv, postmortale Simulation und Identitätsvortäuschung</w:t>
      </w:r>
    </w:p>
    <w:p>
      <w:pPr>
        <w:spacing w:after="40"/>
      </w:pPr>
      <w:r>
        <w:rPr>
          <w:rFonts w:ascii="DejaVu Sans" w:hAnsi="DejaVu Sans" w:eastAsia="DejaVu Sans"/>
          <w:color w:val="1E2528"/>
          <w:sz w:val="18"/>
        </w:rPr>
        <w:t>Das Archiv bewahrt ursprüngliche Spuren; das Gedenkarchiv ordnet sie, ohne so zu sprechen, als wäre es die verstorbene Person; die generative Simulation erzeugt neue Antworten oder Darstellungen aus den Daten; die Identitätsvortäuschung präsentiert sie irreführend als Äußerungen der realen Person. Dateibesitz, Verwandtschaft oder Zahlung sind kein Mandat, eine Stimme in der ersten Person zu erzeugen.</w:t>
      </w:r>
    </w:p>
    <w:p>
      <w:pPr>
        <w:keepNext/>
        <w:spacing w:before="80" w:after="20"/>
      </w:pPr>
      <w:r>
        <w:rPr>
          <w:rFonts w:ascii="DejaVu Sans" w:hAnsi="DejaVu Sans" w:eastAsia="DejaVu Sans"/>
          <w:b/>
          <w:color w:val="123044"/>
          <w:sz w:val="20"/>
        </w:rPr>
        <w:t>Überprüfte Nachvollziehbarkeit</w:t>
      </w:r>
    </w:p>
    <w:p>
      <w:pPr>
        <w:spacing w:after="40"/>
      </w:pPr>
      <w:r>
        <w:rPr>
          <w:rFonts w:ascii="DejaVu Sans" w:hAnsi="DejaVu Sans" w:eastAsia="DejaVu Sans"/>
          <w:color w:val="1E2528"/>
          <w:sz w:val="18"/>
        </w:rPr>
        <w:t>Fähigkeit einer Person oder unabhängigen Stelle, zu rekonstruieren, warum ein System ein Ergebnis erzeugt hat, es an einem Regel- und einem Grenzfall zu prüfen und diese Überprüfung zu nutzen, bevor das Ergebnis Folgen hat. Sie ist weder eine allgemeine Erklärung noch eine formal vollständige Akte: Kann sie das Ergebnis nicht ändern oder stoppen, muss das Mandat begrenzt werden.</w:t>
      </w:r>
    </w:p>
    <w:p>
      <w:pPr>
        <w:keepNext/>
        <w:spacing w:before="80" w:after="20"/>
      </w:pPr>
      <w:r>
        <w:rPr>
          <w:rFonts w:ascii="DejaVu Sans" w:hAnsi="DejaVu Sans" w:eastAsia="DejaVu Sans"/>
          <w:b/>
          <w:color w:val="123044"/>
          <w:sz w:val="20"/>
        </w:rPr>
        <w:t>Strukturelle Intransparenz</w:t>
      </w:r>
    </w:p>
    <w:p>
      <w:pPr>
        <w:spacing w:after="40"/>
      </w:pPr>
      <w:r>
        <w:rPr>
          <w:rFonts w:ascii="DejaVu Sans" w:hAnsi="DejaVu Sans" w:eastAsia="DejaVu Sans"/>
          <w:color w:val="1E2528"/>
          <w:sz w:val="18"/>
        </w:rPr>
        <w:t>Form der Intransparenz, die entsteht, wenn viele Komponenten, Aktualisierungen, Agenten und Organisationen so zusammenwirken, dass niemand rechtzeitig über das Gesamtbild verfügt, um das Ergebnis zu kontrollieren. Quellcode zu öffnen kann helfen, ohne das Problem zu lösen. Siehe auch: Überprüfte Nachvollziehbarkeit; Zeit bis zum Schaden und Kontrollfenster; Aufsichtsbudget.</w:t>
      </w:r>
    </w:p>
    <w:p>
      <w:pPr>
        <w:keepNext/>
        <w:spacing w:before="80" w:after="20"/>
      </w:pPr>
      <w:r>
        <w:rPr>
          <w:rFonts w:ascii="DejaVu Sans" w:hAnsi="DejaVu Sans" w:eastAsia="DejaVu Sans"/>
          <w:b/>
          <w:color w:val="123044"/>
          <w:sz w:val="20"/>
        </w:rPr>
        <w:t>Fähigkeit, Zuverlässigkeit und Befugnis</w:t>
      </w:r>
    </w:p>
    <w:p>
      <w:pPr>
        <w:spacing w:after="40"/>
      </w:pPr>
      <w:r>
        <w:rPr>
          <w:rFonts w:ascii="DejaVu Sans" w:hAnsi="DejaVu Sans" w:eastAsia="DejaVu Sans"/>
          <w:color w:val="1E2528"/>
          <w:sz w:val="18"/>
        </w:rPr>
        <w:t>Drei verschiedene Fragen: was ein System kann, wie regelmäßig es dies unter realen Bedingungen tut und was es im Namen einer Person tun darf. Fähigkeit und Zuverlässigkeit begründen allein keine Befugnis und erzwingen weder Einführung noch vollständige Delegation.</w:t>
      </w:r>
    </w:p>
    <w:p>
      <w:pPr>
        <w:keepNext/>
        <w:spacing w:before="80" w:after="20"/>
      </w:pPr>
      <w:r>
        <w:rPr>
          <w:rFonts w:ascii="DejaVu Sans" w:hAnsi="DejaVu Sans" w:eastAsia="DejaVu Sans"/>
          <w:b/>
          <w:color w:val="123044"/>
          <w:sz w:val="20"/>
        </w:rPr>
        <w:t>Menschliche Aufsicht</w:t>
      </w:r>
    </w:p>
    <w:p>
      <w:pPr>
        <w:spacing w:after="40"/>
      </w:pPr>
      <w:r>
        <w:rPr>
          <w:rFonts w:ascii="DejaVu Sans" w:hAnsi="DejaVu Sans" w:eastAsia="DejaVu Sans"/>
          <w:color w:val="1E2528"/>
          <w:sz w:val="18"/>
        </w:rPr>
        <w:t>Sie ist nur wirksam, wenn eine identifizierbare Person über lesbare Nachweise, Zeit, Kompetenz und die Befugnis verfügt, eine Handlung zu ändern oder zu stoppen, und wenn Übergabe, Begründung und nachträgliche Kontrolle dokumentiert bleiben. Bloße Anwesenheit oder eine formale Unterschrift reichen nicht aus.</w:t>
      </w:r>
    </w:p>
    <w:p>
      <w:pPr>
        <w:keepNext/>
        <w:spacing w:before="80" w:after="20"/>
      </w:pPr>
      <w:r>
        <w:rPr>
          <w:rFonts w:ascii="DejaVu Sans" w:hAnsi="DejaVu Sans" w:eastAsia="DejaVu Sans"/>
          <w:b/>
          <w:color w:val="123044"/>
          <w:sz w:val="20"/>
        </w:rPr>
        <w:t>Wirksamer Rechtsbehelf</w:t>
      </w:r>
    </w:p>
    <w:p>
      <w:pPr>
        <w:spacing w:after="40"/>
      </w:pPr>
      <w:r>
        <w:rPr>
          <w:rFonts w:ascii="DejaVu Sans" w:hAnsi="DejaVu Sans" w:eastAsia="DejaVu Sans"/>
          <w:color w:val="1E2528"/>
          <w:sz w:val="18"/>
        </w:rPr>
        <w:t>Konkrete Möglichkeit, eine verständliche Mitteilung zu erhalten, einschlägige Angaben einzusehen und berichtigen zu lassen und ohne Hindernisse eine Stelle zu erreichen, die die Wirkung aussetzen, den Fall erneut öffnen und innerhalb einer dem möglichen Schaden angemessenen Frist eine begründete Entscheidung mitteilen kann.</w:t>
      </w:r>
    </w:p>
    <w:p>
      <w:pPr>
        <w:keepNext/>
        <w:spacing w:before="80" w:after="20"/>
      </w:pPr>
      <w:r>
        <w:rPr>
          <w:rFonts w:ascii="DejaVu Sans" w:hAnsi="DejaVu Sans" w:eastAsia="DejaVu Sans"/>
          <w:b/>
          <w:color w:val="123044"/>
          <w:sz w:val="20"/>
        </w:rPr>
        <w:t>Restschaden und operative Fallakte</w:t>
      </w:r>
    </w:p>
    <w:p>
      <w:pPr>
        <w:spacing w:after="40"/>
      </w:pPr>
      <w:r>
        <w:rPr>
          <w:rFonts w:ascii="DejaVu Sans" w:hAnsi="DejaVu Sans" w:eastAsia="DejaVu Sans"/>
          <w:color w:val="1E2528"/>
          <w:sz w:val="18"/>
        </w:rPr>
        <w:t>Eine ehrliche Anwendung des Tests verspricht nicht, dass keinerlei Schaden entsteht. Die Akte bleibt wertvoll, wenn sie ursprüngliche Quellen, menschliche Anmerkungen und erzeugte Zusammenfassungen unterscheidet, Nichtrekonstruierbares offenlegt und Nachweise, Abhilfe und Begrenzungen verbindet. Sie dient dem Lernen und Korrigieren, nicht der Behauptung vollkommener Kontrolle.</w:t>
      </w:r>
    </w:p>
    <w:p>
      <w:pPr>
        <w:keepNext/>
        <w:spacing w:before="80" w:after="20"/>
      </w:pPr>
      <w:r>
        <w:rPr>
          <w:rFonts w:ascii="DejaVu Sans" w:hAnsi="DejaVu Sans" w:eastAsia="DejaVu Sans"/>
          <w:b/>
          <w:color w:val="123044"/>
          <w:sz w:val="20"/>
        </w:rPr>
        <w:t>Zeit bis zum Schaden und Kontrollfenster</w:t>
      </w:r>
    </w:p>
    <w:p>
      <w:pPr>
        <w:spacing w:after="40"/>
      </w:pPr>
      <w:r>
        <w:rPr>
          <w:rFonts w:ascii="DejaVu Sans" w:hAnsi="DejaVu Sans" w:eastAsia="DejaVu Sans"/>
          <w:color w:val="1E2528"/>
          <w:sz w:val="18"/>
        </w:rPr>
        <w:t>Die Zeit bis zum Schaden trennt einen Fehler von seiner Folge; das Kontrollfenster ist die tatsächlich nutzbare Zeit, um den Fehler zu erkennen, den Vorgang zu rekonstruieren und einzugreifen. Aufsicht ist nur wirksam, wenn die erforderlichen Schritte in dieses Fenster passen; andernfalls besteht sie nur dem Namen nach.</w:t>
      </w:r>
    </w:p>
    <w:p>
      <w:pPr>
        <w:keepNext/>
        <w:spacing w:before="80" w:after="20"/>
      </w:pPr>
      <w:r>
        <w:rPr>
          <w:rFonts w:ascii="DejaVu Sans" w:hAnsi="DejaVu Sans" w:eastAsia="DejaVu Sans"/>
          <w:b/>
          <w:color w:val="123044"/>
          <w:sz w:val="20"/>
        </w:rPr>
        <w:t>Aufsichtsbudget</w:t>
      </w:r>
    </w:p>
    <w:p>
      <w:pPr>
        <w:spacing w:after="40"/>
      </w:pPr>
      <w:r>
        <w:rPr>
          <w:rFonts w:ascii="DejaVu Sans" w:hAnsi="DejaVu Sans" w:eastAsia="DejaVu Sans"/>
          <w:color w:val="1E2528"/>
          <w:sz w:val="18"/>
        </w:rPr>
        <w:t>Verhältnis zwischen Umfang und Geschwindigkeit der zu kontrollierenden Entscheidungen und den dafür verfügbaren personellen Ressourcen. Übersteigt die Belastung dauerhaft die Prüfkapazität, wird menschliches Eingreifen zu einer verspäteten Unterschrift. Siehe auch: Menschliche Aufsicht; Überprüfte Nachvollziehbarkeit; Eingeschränkter Betriebsmodus.</w:t>
      </w:r>
    </w:p>
    <w:p>
      <w:pPr>
        <w:keepNext/>
        <w:spacing w:before="80" w:after="20"/>
      </w:pPr>
      <w:r>
        <w:rPr>
          <w:rFonts w:ascii="DejaVu Sans" w:hAnsi="DejaVu Sans" w:eastAsia="DejaVu Sans"/>
          <w:b/>
          <w:color w:val="123044"/>
          <w:sz w:val="20"/>
        </w:rPr>
        <w:t>Kontinuität, eingeschränkter Betriebsmodus und verbleibende Kompetenz</w:t>
      </w:r>
    </w:p>
    <w:p>
      <w:pPr>
        <w:spacing w:after="40"/>
      </w:pPr>
      <w:r>
        <w:rPr>
          <w:rFonts w:ascii="DejaVu Sans" w:hAnsi="DejaVu Sans" w:eastAsia="DejaVu Sans"/>
          <w:color w:val="1E2528"/>
          <w:sz w:val="18"/>
        </w:rPr>
        <w:t>Kontinuität hält eine wesentliche Funktion aufrecht und dokumentiert auch die auf Nutzende und Personal verlagerten Kosten. Der eingeschränkte Betriebsmodus bietet während einer Störung bewusst einen engeren Dienst mit klar benannten Grenzen. Verbleibende Kompetenz bezeichnet lokales Wissen und lokale Befugnis, um diesen Modus zu aktivieren, Ausnahmen zu bearbeiten und die zwischenzeitliche Arbeit nach Rückkehr des Systems abzugleichen.</w:t>
      </w:r>
    </w:p>
    <w:p>
      <w:pPr>
        <w:keepNext/>
        <w:spacing w:before="80" w:after="20"/>
      </w:pPr>
      <w:r>
        <w:rPr>
          <w:rFonts w:ascii="DejaVu Sans" w:hAnsi="DejaVu Sans" w:eastAsia="DejaVu Sans"/>
          <w:b/>
          <w:color w:val="123044"/>
          <w:sz w:val="20"/>
        </w:rPr>
        <w:t>Ausstiegstest</w:t>
      </w:r>
    </w:p>
    <w:p>
      <w:pPr>
        <w:spacing w:after="40"/>
      </w:pPr>
      <w:r>
        <w:rPr>
          <w:rFonts w:ascii="DejaVu Sans" w:hAnsi="DejaVu Sans" w:eastAsia="DejaVu Sans"/>
          <w:color w:val="1E2528"/>
          <w:sz w:val="18"/>
        </w:rPr>
        <w:t>Praktische Prüfung vor der Einführung und danach in regelmäßigen Abständen, ob sich Daten, Register, Konfigurationen und Berechtigungen exportieren und rekonstruieren, im eingeschränkten Betriebsmodus nutzen und ohne den Hauptanbieter wieder in Betrieb nehmen lassen. Eine Portabilitätsklausel genügt nicht, wenn die Organisation die Arbeit nicht aufnehmen, Verluste nicht dokumentieren oder nicht ohne verborgene Abhängigkeit zurückkehren kann.</w:t>
      </w:r>
    </w:p>
    <w:p>
      <w:pPr>
        <w:keepNext/>
        <w:spacing w:before="80" w:after="20"/>
      </w:pPr>
      <w:r>
        <w:rPr>
          <w:rFonts w:ascii="DejaVu Sans" w:hAnsi="DejaVu Sans" w:eastAsia="DejaVu Sans"/>
          <w:b/>
          <w:color w:val="123044"/>
          <w:sz w:val="20"/>
        </w:rPr>
        <w:t>Herkunft von Inhalten</w:t>
      </w:r>
    </w:p>
    <w:p>
      <w:pPr>
        <w:spacing w:after="40"/>
      </w:pPr>
      <w:r>
        <w:rPr>
          <w:rFonts w:ascii="DejaVu Sans" w:hAnsi="DejaVu Sans" w:eastAsia="DejaVu Sans"/>
          <w:color w:val="1E2528"/>
          <w:sz w:val="18"/>
        </w:rPr>
        <w:t>Überprüfbare Angaben zu Erfassung, Ursprung, Bearbeitungsschritten und Freigaben eines Inhalts. Sie verteilen Verantwortung und helfen, seine technische Entstehungsgeschichte zu rekonstruieren, belegen allein aber weder Aufrichtigkeit noch Kontext noch Wahrheit; unvollständige Metadaten machen ein Dokument nicht automatisch falsch.</w:t>
      </w:r>
    </w:p>
    <w:p>
      <w:pPr>
        <w:keepNext/>
        <w:spacing w:before="80" w:after="20"/>
      </w:pPr>
      <w:r>
        <w:rPr>
          <w:rFonts w:ascii="DejaVu Sans" w:hAnsi="DejaVu Sans" w:eastAsia="DejaVu Sans"/>
          <w:b/>
          <w:color w:val="123044"/>
          <w:sz w:val="20"/>
        </w:rPr>
        <w:t>Lebende Lizenz</w:t>
      </w:r>
    </w:p>
    <w:p>
      <w:pPr>
        <w:spacing w:after="40"/>
      </w:pPr>
      <w:r>
        <w:rPr>
          <w:rFonts w:ascii="DejaVu Sans" w:hAnsi="DejaVu Sans" w:eastAsia="DejaVu Sans"/>
          <w:color w:val="1E2528"/>
          <w:sz w:val="18"/>
        </w:rPr>
        <w:t>Vorschlag des Buches für die Nutzung einer Stimme, eines Bildes oder eines Werks in generativen Systemen: nach Zweck und Dauer begrenzte Einwilligung, Rückverfolgbarkeit der Nutzung, Vergütung, sofern vorgesehen, Widerrufsmöglichkeit und Umgang mit abgeleiteten Werken. Sie bezeichnet keine bereits einheitlich anerkannte Lizenz. Siehe auch: Herkunft von Inhalten; Operatives Mandat; 2050-Test.</w:t>
      </w:r>
    </w:p>
    <w:p>
      <w:pPr>
        <w:keepNext/>
        <w:spacing w:before="80" w:after="20"/>
      </w:pPr>
      <w:r>
        <w:rPr>
          <w:rFonts w:ascii="DejaVu Sans" w:hAnsi="DejaVu Sans" w:eastAsia="DejaVu Sans"/>
          <w:b/>
          <w:color w:val="123044"/>
          <w:sz w:val="20"/>
        </w:rPr>
        <w:t>Ökobilanz (Life Cycle Assessment, LCA)</w:t>
      </w:r>
    </w:p>
    <w:p>
      <w:pPr>
        <w:spacing w:after="40"/>
      </w:pPr>
      <w:r>
        <w:rPr>
          <w:rFonts w:ascii="DejaVu Sans" w:hAnsi="DejaVu Sans" w:eastAsia="DejaVu Sans"/>
          <w:color w:val="1E2528"/>
          <w:sz w:val="18"/>
        </w:rPr>
        <w:t>Methode zur Bewertung von Umweltwirkungen entlang benannter Lebenswegphasen und Systemgrenzen, von Rohstoffen bis zum Lebensende. Ergebnisse hängen von Ziel, funktioneller Einheit, Daten und Geltungsbereich ab und sind nicht vergleichbar, wenn sich diese Elemente unbemerkt ändern.</w:t>
      </w:r>
    </w:p>
    <w:p>
      <w:pPr>
        <w:keepNext/>
        <w:spacing w:before="80" w:after="20"/>
      </w:pPr>
      <w:r>
        <w:rPr>
          <w:rFonts w:ascii="DejaVu Sans" w:hAnsi="DejaVu Sans" w:eastAsia="DejaVu Sans"/>
          <w:b/>
          <w:color w:val="123044"/>
          <w:sz w:val="20"/>
        </w:rPr>
        <w:t>Materieller Metabolismus</w:t>
      </w:r>
    </w:p>
    <w:p>
      <w:pPr>
        <w:spacing w:after="40"/>
      </w:pPr>
      <w:r>
        <w:rPr>
          <w:rFonts w:ascii="DejaVu Sans" w:hAnsi="DejaVu Sans" w:eastAsia="DejaVu Sans"/>
          <w:color w:val="1E2528"/>
          <w:sz w:val="18"/>
        </w:rPr>
        <w:t>Betrachtungsweise der digitalen Infrastruktur anhand dessen, was in sie eingeht, in ihr zirkuliert und verbleibt: Energie, Wasser, Mineralien, Geräte, Arbeit, Emissionen und Abfälle. Es handelt sich um eine Perspektive des Buches, nicht um eine einzige Kennzahl; Vergleiche brauchen benannte Grenzen, Einheiten und Orte. Siehe auch: Ökobilanz; Wasserentnahme und Wasserverbrauch; Technologische Souveränität.</w:t>
      </w:r>
    </w:p>
    <w:p>
      <w:pPr>
        <w:keepNext/>
        <w:spacing w:before="80" w:after="20"/>
      </w:pPr>
      <w:r>
        <w:rPr>
          <w:rFonts w:ascii="DejaVu Sans" w:hAnsi="DejaVu Sans" w:eastAsia="DejaVu Sans"/>
          <w:b/>
          <w:color w:val="123044"/>
          <w:sz w:val="20"/>
        </w:rPr>
        <w:t>Wasserentnahme und Wasserverbrauch</w:t>
      </w:r>
    </w:p>
    <w:p>
      <w:pPr>
        <w:spacing w:after="40"/>
      </w:pPr>
      <w:r>
        <w:rPr>
          <w:rFonts w:ascii="DejaVu Sans" w:hAnsi="DejaVu Sans" w:eastAsia="DejaVu Sans"/>
          <w:color w:val="1E2528"/>
          <w:sz w:val="18"/>
        </w:rPr>
        <w:t>Entnahme ist Wasser, das einer Quelle entzogen wird; Verbrauch ist der Anteil, der nicht unmittelbar in die örtliche Umwelt zurückkehrt. Werden beide Begriffe vermischt, lassen sich Vergleiche zwischen Orten, Technologien und Jahreszeiten schwer deuten.</w:t>
      </w:r>
    </w:p>
    <w:p>
      <w:pPr>
        <w:keepNext/>
        <w:spacing w:before="80" w:after="20"/>
      </w:pPr>
      <w:r>
        <w:rPr>
          <w:rFonts w:ascii="DejaVu Sans" w:hAnsi="DejaVu Sans" w:eastAsia="DejaVu Sans"/>
          <w:b/>
          <w:color w:val="123044"/>
          <w:sz w:val="20"/>
        </w:rPr>
        <w:t>Ausschließlich auf einer automatisierten Verarbeitung beruhende Entscheidung</w:t>
      </w:r>
    </w:p>
    <w:p>
      <w:pPr>
        <w:spacing w:after="40"/>
      </w:pPr>
      <w:r>
        <w:rPr>
          <w:rFonts w:ascii="DejaVu Sans" w:hAnsi="DejaVu Sans" w:eastAsia="DejaVu Sans"/>
          <w:color w:val="1E2528"/>
          <w:sz w:val="18"/>
        </w:rPr>
        <w:t>Im Sinne von Artikel 22 DSGVO eine Entscheidung ohne bedeutsames menschliches Eingreifen, die gegenüber einer Person rechtliche Wirkung entfaltet oder sie in ähnlicher Weise erheblich beeinträchtigt. Geltungsbereich, Ausnahmen und Garantien richten sich nach dem anwendbaren Recht.</w:t>
      </w:r>
    </w:p>
    <w:p>
      <w:pPr>
        <w:keepNext/>
        <w:spacing w:before="80" w:after="20"/>
      </w:pPr>
      <w:r>
        <w:rPr>
          <w:rFonts w:ascii="DejaVu Sans" w:hAnsi="DejaVu Sans" w:eastAsia="DejaVu Sans"/>
          <w:b/>
          <w:color w:val="123044"/>
          <w:sz w:val="20"/>
        </w:rPr>
        <w:t>Hochrisiko-KI-System</w:t>
      </w:r>
    </w:p>
    <w:p>
      <w:pPr>
        <w:spacing w:after="40"/>
      </w:pPr>
      <w:r>
        <w:rPr>
          <w:rFonts w:ascii="DejaVu Sans" w:hAnsi="DejaVu Sans" w:eastAsia="DejaVu Sans"/>
          <w:color w:val="1E2528"/>
          <w:sz w:val="18"/>
        </w:rPr>
        <w:t>Rechtskategorie des AI Acts für Systeme, die anhand der im Rechtsakt festgelegten Funktionen, Kontexte und Voraussetzungen bestimmt werden. Sie ist kein allgemeines Synonym für ein gefährliches System; mit ihr sind besondere Pflichten verbunden, die schrittweise anwendbar werden.</w:t>
      </w:r>
    </w:p>
    <w:p>
      <w:pPr>
        <w:keepNext/>
        <w:spacing w:before="80" w:after="20"/>
      </w:pPr>
      <w:r>
        <w:rPr>
          <w:rFonts w:ascii="DejaVu Sans" w:hAnsi="DejaVu Sans" w:eastAsia="DejaVu Sans"/>
          <w:b/>
          <w:color w:val="123044"/>
          <w:sz w:val="20"/>
        </w:rPr>
        <w:t>KI-Modell mit allgemeinem Verwendungszweck</w:t>
      </w:r>
    </w:p>
    <w:p>
      <w:pPr>
        <w:spacing w:after="40"/>
      </w:pPr>
      <w:r>
        <w:rPr>
          <w:rFonts w:ascii="DejaVu Sans" w:hAnsi="DejaVu Sans" w:eastAsia="DejaVu Sans"/>
          <w:color w:val="1E2528"/>
          <w:sz w:val="18"/>
        </w:rPr>
        <w:t>Modell, das eine große Bandbreite unterschiedlicher Aufgaben erfüllen und in verschiedene Systeme integriert werden kann. Im AI Act bildet es eine eigene Regulierungskategorie, die vom einzelnen System zu unterscheiden ist, in das es eingebaut wird.</w:t>
      </w:r>
    </w:p>
    <w:p>
      <w:pPr>
        <w:pStyle w:val="Heading1"/>
      </w:pPr>
      <w:r>
        <w:t>Hinweis zur Verwendung</w:t>
      </w:r>
    </w:p>
    <w:p>
      <w:pPr>
        <w:keepLines w:val="0"/>
      </w:pPr>
      <w:r>
        <w:rPr>
          <w:rFonts w:ascii="DejaVu Sans" w:hAnsi="DejaVu Sans" w:eastAsia="DejaVu Sans"/>
          <w:color w:val="1E2528"/>
          <w:sz w:val="18"/>
        </w:rPr>
        <w:t>Die Definitionen beschreiben die Verwendung der Begriffe im Buch und unterscheiden bei Bedarf technische Konzepte, Rechtskategorien, erzählerische Szenarien und Vorschläge des Autors. Berufliche oder regulatorische Entscheidungen erfordern die Prüfung der Primärquelle und des anwendbaren Rechts.</w:t>
      </w:r>
    </w:p>
    <w:sectPr w:rsidR="00FC693F" w:rsidRPr="0006063C" w:rsidSect="00034616">
      <w:headerReference w:type="default" r:id="rId9"/>
      <w:footerReference w:type="default" r:id="rId10"/>
      <w:footerReference w:type="first" r:id="rId11"/>
      <w:headerReference w:type="first" r:id="rId14"/>
      <w:headerReference w:type="even" r:id="rId15"/>
      <w:footerReference w:type="even" r:id="rId16"/>
      <w:pgSz w:w="12240" w:h="15840"/>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pPr>
    <w:r>
      <w:rPr>
        <w:rFonts w:ascii="DejaVu Sans" w:hAnsi="DejaVu Sans" w:eastAsia="DejaVu Sans"/>
        <w:color w:val="5D6870"/>
        <w:sz w:val="14"/>
      </w:rPr>
      <w:t>2050 - DE-DE-R1 - LETTER - Stand der deutschen Ausgabe - Juli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https://www.corneritaliano.com/de/2050/ressourcen/</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pPr>
    <w:r>
      <w:rPr>
        <w:rFonts w:ascii="DejaVu Sans" w:hAnsi="DejaVu Sans" w:eastAsia="DejaVu Sans"/>
        <w:color w:val="5D6870"/>
        <w:sz w:val="14"/>
      </w:rPr>
      <w:t>2050 - DE-DE-R1 - LETTER - Stand der deutschen Ausgabe - Juli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OFFIZIELLE RESSOURCEN  |  </w:t>
    </w:r>
    <w:r>
      <w:rPr>
        <w:rFonts w:ascii="DejaVu Sans" w:hAnsi="DejaVu Sans" w:eastAsia="DejaVu Sans"/>
        <w:color w:val="5D6870"/>
        <w:sz w:val="15"/>
      </w:rPr>
      <w:t>Vollständiges Glossar</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OFFIZIELLE RESSOURCEN  |  </w:t>
    </w:r>
    <w:r>
      <w:rPr>
        <w:rFonts w:ascii="DejaVu Sans" w:hAnsi="DejaVu Sans" w:eastAsia="DejaVu Sans"/>
        <w:color w:val="5D6870"/>
        <w:sz w:val="15"/>
      </w:rPr>
      <w:t>Vollständiges Glossar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83" w:lineRule="auto"/>
    </w:pPr>
    <w:rPr>
      <w:rFonts w:ascii="DejaVu Sans" w:hAnsi="DejaVu Sans"/>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DejaVu Sans" w:hAnsi="DejaVu Sans"/>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DejaVu Sans" w:hAnsi="DejaVu Sans"/>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DejaVu Sans" w:hAnsi="DejaVu Sans"/>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DejaVu Sans" w:hAnsi="DejaVu Sans"/>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DejaVu Sans" w:hAnsi="DejaVu Sans"/>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de/2050/ressourcen/" TargetMode="Externa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Vollständiges Glossar</dc:title>
  <dc:subject>Ressource complémentaire officielle de 2050</dc:subject>
  <dc:creator>Corner Italiano LLC</dc:creator>
  <cp:keywords>2050, intelligence artificielle, Test 2050, ressources</cp:keywords>
  <dc:description>generated by python-docx</dc:description>
  <cp:lastModifiedBy>Corner Italiano LLC</cp:lastModifiedBy>
  <cp:revision>1</cp:revision>
  <dcterms:created xsi:type="dcterms:W3CDTF">2013-12-23T23:15:00Z</dcterms:created>
  <dcterms:modified xsi:type="dcterms:W3CDTF">2013-12-23T23:15:00Z</dcterms:modified>
  <cp:category/>
</cp:coreProperties>
</file>