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Themenkarte</w:t>
      </w:r>
    </w:p>
    <w:p>
      <w:pPr>
        <w:pStyle w:val="Subtitle"/>
        <w:jc w:val="center"/>
      </w:pPr>
      <w:r>
        <w:rPr>
          <w:rFonts w:ascii="DejaVu Sans" w:hAnsi="DejaVu Sans" w:eastAsia="DejaVu Sans"/>
          <w:color w:val="5D6870"/>
          <w:sz w:val="25"/>
        </w:rPr>
        <w:t>Wo die zentralen Fragen des Buches zu finden sind</w:t>
      </w:r>
    </w:p>
    <w:p>
      <w:pPr>
        <w:spacing w:before="440"/>
        <w:jc w:val="center"/>
      </w:pPr>
      <w:r>
        <w:rPr>
          <w:rFonts w:ascii="DejaVu Sans" w:hAnsi="DejaVu Sans" w:eastAsia="DejaVu Sans"/>
          <w:b/>
          <w:color w:val="B54B2A"/>
          <w:sz w:val="17"/>
        </w:rPr>
        <w:t>THEMATISCHES LESEREGISTER</w:t>
      </w:r>
    </w:p>
    <w:p>
      <w:pPr>
        <w:jc w:val="center"/>
      </w:pPr>
      <w:r>
        <w:rPr>
          <w:rFonts w:ascii="DejaVu Sans" w:hAnsi="DejaVu Sans" w:eastAsia="DejaVu Sans"/>
          <w:color w:val="234C61"/>
          <w:sz w:val="19"/>
        </w:rPr>
        <w:t>Stand der deutschen Ausgabe - Juli 2026 - Format US Letter (8,5 x 11 Zoll)</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ORIENTIERUNG  </w:t>
            </w:r>
            <w:r>
              <w:rPr>
                <w:rFonts w:ascii="DejaVu Sans" w:hAnsi="DejaVu Sans" w:eastAsia="DejaVu Sans"/>
                <w:color w:val="1E2528"/>
                <w:sz w:val="18"/>
              </w:rPr>
              <w:t>Das Buch kehrt in unterschiedlichen Maßstäben zu denselben Fragen zurück. Diese Karte zeigt, wo jedes Thema entfaltet wird, und verwendet stabile Titel, damit die Verweise auch bei geänderter Seitennummerierung gültig bleiben.</w:t>
            </w:r>
          </w:p>
        </w:tc>
      </w:tr>
    </w:tbl>
    <w:p>
      <w:pPr>
        <w:spacing w:after="0"/>
      </w:pPr>
    </w:p>
    <w:p>
      <w:pPr>
        <w:keepNext/>
        <w:spacing w:before="160" w:after="40"/>
      </w:pPr>
      <w:r>
        <w:rPr>
          <w:rFonts w:ascii="DejaVu Sans" w:hAnsi="DejaVu Sans" w:eastAsia="DejaVu Sans"/>
          <w:b/>
          <w:color w:val="123044"/>
          <w:sz w:val="20"/>
        </w:rPr>
        <w:t>Erwachsene Hoffnung und Grenzen der Delegation</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Einleitung; Kapitel 16; Epilog, Was wir nicht delegieren.</w:t>
      </w:r>
    </w:p>
    <w:p>
      <w:pPr>
        <w:keepLines/>
        <w:spacing w:after="100"/>
      </w:pPr>
      <w:r>
        <w:rPr>
          <w:rFonts w:ascii="DejaVu Sans" w:hAnsi="DejaVu Sans" w:eastAsia="DejaVu Sans"/>
          <w:color w:val="1E2528"/>
          <w:sz w:val="18"/>
        </w:rPr>
        <w:t>Technologie verstehen und nutzen, wenn sie das Leben verbessert, und zugleich Räume bewahren, in denen eine menschliche Entscheidung sie begrenzen, ablehnen oder korrigieren kann.</w:t>
      </w:r>
    </w:p>
    <w:p>
      <w:pPr>
        <w:keepNext/>
        <w:spacing w:before="160" w:after="40"/>
      </w:pPr>
      <w:r>
        <w:rPr>
          <w:rFonts w:ascii="DejaVu Sans" w:hAnsi="DejaVu Sans" w:eastAsia="DejaVu Sans"/>
          <w:b/>
          <w:color w:val="123044"/>
          <w:sz w:val="20"/>
        </w:rPr>
        <w:t>Fähigkeit, Zuverlässigkeit und Befugnis</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Einleitung; Zwischenspiel I; Kapitel 1, 4, 7, 8, 12 und 16; Werkzeuge für die Lektüre, Die drei Vokabulare im Überblick.</w:t>
      </w:r>
    </w:p>
    <w:p>
      <w:pPr>
        <w:keepLines/>
        <w:spacing w:after="100"/>
      </w:pPr>
      <w:r>
        <w:rPr>
          <w:rFonts w:ascii="DejaVu Sans" w:hAnsi="DejaVu Sans" w:eastAsia="DejaVu Sans"/>
          <w:color w:val="1E2528"/>
          <w:sz w:val="18"/>
        </w:rPr>
        <w:t>Etwas tun zu können, es unter realen Bedingungen zuverlässig zu tun und dazu befugt zu sein, sind unterschiedliche Eigenschaften.</w:t>
      </w:r>
    </w:p>
    <w:p>
      <w:pPr>
        <w:keepNext/>
        <w:spacing w:before="160" w:after="40"/>
      </w:pPr>
      <w:r>
        <w:rPr>
          <w:rFonts w:ascii="DejaVu Sans" w:hAnsi="DejaVu Sans" w:eastAsia="DejaVu Sans"/>
          <w:b/>
          <w:color w:val="123044"/>
          <w:sz w:val="20"/>
        </w:rPr>
        <w:t>2050-Test und drei Vokabulare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Zwischenspiel I; Kapitel 7; Zwischenspiel II; Kapitel 16; Werkzeuge für die Lektüre.</w:t>
      </w:r>
    </w:p>
    <w:p>
      <w:pPr>
        <w:keepLines/>
        <w:spacing w:after="100"/>
      </w:pPr>
      <w:r>
        <w:rPr>
          <w:rFonts w:ascii="DejaVu Sans" w:hAnsi="DejaVu Sans" w:eastAsia="DejaVu Sans"/>
          <w:color w:val="1E2528"/>
          <w:sz w:val="18"/>
        </w:rPr>
        <w:t>Die sieben Fragen, die Einstufung der Nachweislage und die organisatorische Entscheidung bleiben getrennt und erzeugen keinen kompensatorischen Durchschnitt.</w:t>
      </w:r>
    </w:p>
    <w:p>
      <w:pPr>
        <w:keepNext/>
        <w:spacing w:before="160" w:after="40"/>
      </w:pPr>
      <w:r>
        <w:rPr>
          <w:rFonts w:ascii="DejaVu Sans" w:hAnsi="DejaVu Sans" w:eastAsia="DejaVu Sans"/>
          <w:b/>
          <w:color w:val="123044"/>
          <w:sz w:val="20"/>
        </w:rPr>
        <w:t>Identität, Minimierung des Nachweises und Portabilität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2 und 3; Kapitel 16; Werkzeuge für die Lektüre, Prüfbogen des 2050-Tests.</w:t>
      </w:r>
    </w:p>
    <w:p>
      <w:pPr>
        <w:keepLines/>
        <w:spacing w:after="100"/>
      </w:pPr>
      <w:r>
        <w:rPr>
          <w:rFonts w:ascii="DejaVu Sans" w:hAnsi="DejaVu Sans" w:eastAsia="DejaVu Sans"/>
          <w:color w:val="1E2528"/>
          <w:sz w:val="18"/>
        </w:rPr>
        <w:t>Nur das Erforderliche nachweisen, ohne die ganze Person offenzulegen oder ihr das gesamte Risiko von Wiederherstellung und Ausstieg aufzubürden.</w:t>
      </w:r>
    </w:p>
    <w:p>
      <w:pPr>
        <w:keepNext/>
        <w:spacing w:before="160" w:after="40"/>
      </w:pPr>
      <w:r>
        <w:rPr>
          <w:rFonts w:ascii="DejaVu Sans" w:hAnsi="DejaVu Sans" w:eastAsia="DejaVu Sans"/>
          <w:b/>
          <w:color w:val="123044"/>
          <w:sz w:val="20"/>
        </w:rPr>
        <w:t>Infrastruktur, Kontinuität und Ausstiegstest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3 und 14; Kapitel 16, Aussteigen, ohne Menschen allein zu lassen; Werkzeuge für die Lektüre.</w:t>
      </w:r>
    </w:p>
    <w:p>
      <w:pPr>
        <w:keepLines/>
        <w:spacing w:after="100"/>
      </w:pPr>
      <w:r>
        <w:rPr>
          <w:rFonts w:ascii="DejaVu Sans" w:hAnsi="DejaVu Sans" w:eastAsia="DejaVu Sans"/>
          <w:color w:val="1E2528"/>
          <w:sz w:val="18"/>
        </w:rPr>
        <w:t>Cloud-Dienste, Netze, APIs, Verträge und verbleibende Kompetenz werden steuerbar, wenn eingeschränkte Kontinuität und Ersatz praktisch erprobt werden.</w:t>
      </w:r>
    </w:p>
    <w:p>
      <w:pPr>
        <w:keepNext/>
        <w:spacing w:before="160" w:after="40"/>
      </w:pPr>
      <w:r>
        <w:rPr>
          <w:rFonts w:ascii="DejaVu Sans" w:hAnsi="DejaVu Sans" w:eastAsia="DejaVu Sans"/>
          <w:b/>
          <w:color w:val="123044"/>
          <w:sz w:val="20"/>
        </w:rPr>
        <w:t>Arbeit, Kompetenz und Bildung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4, 6 und 7; Verweise in Kapitel 10 und 16.</w:t>
      </w:r>
    </w:p>
    <w:p>
      <w:pPr>
        <w:keepLines/>
        <w:spacing w:after="100"/>
      </w:pPr>
      <w:r>
        <w:rPr>
          <w:rFonts w:ascii="DejaVu Sans" w:hAnsi="DejaVu Sans" w:eastAsia="DejaVu Sans"/>
          <w:color w:val="1E2528"/>
          <w:sz w:val="18"/>
        </w:rPr>
        <w:t>Automatisierung verdichtet Aufgaben; Urteilskraft bleibt nur praktikabel, wenn Lernen, Zeit und Befugnis Teil der Arbeit sind.</w:t>
      </w:r>
    </w:p>
    <w:p>
      <w:pPr>
        <w:keepNext/>
        <w:spacing w:before="160" w:after="40"/>
      </w:pPr>
      <w:r>
        <w:rPr>
          <w:rFonts w:ascii="DejaVu Sans" w:hAnsi="DejaVu Sans" w:eastAsia="DejaVu Sans"/>
          <w:b/>
          <w:color w:val="123044"/>
          <w:sz w:val="20"/>
        </w:rPr>
        <w:t>Mandat, Rechtsschutz und wirksame Kontrolle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4, 5, 7, 8, 12 und 16; Zwischenspiele I und II.</w:t>
      </w:r>
    </w:p>
    <w:p>
      <w:pPr>
        <w:keepLines/>
        <w:spacing w:after="100"/>
      </w:pPr>
      <w:r>
        <w:rPr>
          <w:rFonts w:ascii="DejaVu Sans" w:hAnsi="DejaVu Sans" w:eastAsia="DejaVu Sans"/>
          <w:color w:val="1E2528"/>
          <w:sz w:val="18"/>
        </w:rPr>
        <w:t>Ein Mensch zählt im Verfahren, wenn er über Nachweise, Zeit und die Befugnis verfügt, auszusetzen, zu korrigieren und eine begründete Entscheidung zu erwirken.</w:t>
      </w:r>
    </w:p>
    <w:p>
      <w:pPr>
        <w:keepNext/>
        <w:spacing w:before="160" w:after="40"/>
      </w:pPr>
      <w:r>
        <w:rPr>
          <w:rFonts w:ascii="DejaVu Sans" w:hAnsi="DejaVu Sans" w:eastAsia="DejaVu Sans"/>
          <w:b/>
          <w:color w:val="123044"/>
          <w:sz w:val="20"/>
        </w:rPr>
        <w:t>Fürsorge, Unsicherheit und Würde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8, 11 und 15.</w:t>
      </w:r>
    </w:p>
    <w:p>
      <w:pPr>
        <w:keepLines/>
        <w:spacing w:after="100"/>
      </w:pPr>
      <w:r>
        <w:rPr>
          <w:rFonts w:ascii="DejaVu Sans" w:hAnsi="DejaVu Sans" w:eastAsia="DejaVu Sans"/>
          <w:color w:val="1E2528"/>
          <w:sz w:val="18"/>
        </w:rPr>
        <w:t>Technischer Fehler, klinische Unsicherheit, Wertekonflikt, Anwesenheit und Abschied verlangen unterschiedliche Antworten.</w:t>
      </w:r>
    </w:p>
    <w:p>
      <w:pPr>
        <w:keepNext/>
        <w:spacing w:before="160" w:after="40"/>
      </w:pPr>
      <w:r>
        <w:rPr>
          <w:rFonts w:ascii="DejaVu Sans" w:hAnsi="DejaVu Sans" w:eastAsia="DejaVu Sans"/>
          <w:b/>
          <w:color w:val="123044"/>
          <w:sz w:val="20"/>
        </w:rPr>
        <w:t>Öffentliche Wahrheit, Herkunft und epistemische Erschöpfung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9; Verweise in Kapitel 10 und den Werkzeugen für die Lektüre.</w:t>
      </w:r>
    </w:p>
    <w:p>
      <w:pPr>
        <w:keepLines/>
        <w:spacing w:after="100"/>
      </w:pPr>
      <w:r>
        <w:rPr>
          <w:rFonts w:ascii="DejaVu Sans" w:hAnsi="DejaVu Sans" w:eastAsia="DejaVu Sans"/>
          <w:color w:val="1E2528"/>
          <w:sz w:val="18"/>
        </w:rPr>
        <w:t>Ursprung und Bearbeitungsschritte zu rekonstruieren hilft bei der Überprüfung; öffentliches Vertrauen hängt aber auch von den menschlichen und institutionellen Kosten ab, eine Behauptung anzufechten.</w:t>
      </w:r>
    </w:p>
    <w:p>
      <w:pPr>
        <w:keepNext/>
        <w:spacing w:before="160" w:after="40"/>
      </w:pPr>
      <w:r>
        <w:rPr>
          <w:rFonts w:ascii="DejaVu Sans" w:hAnsi="DejaVu Sans" w:eastAsia="DejaVu Sans"/>
          <w:b/>
          <w:color w:val="123044"/>
          <w:sz w:val="20"/>
        </w:rPr>
        <w:t>Urheberschaft, Signatur und neue Knappheit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10; Verweise in Kapitel 9.</w:t>
      </w:r>
    </w:p>
    <w:p>
      <w:pPr>
        <w:keepLines/>
        <w:spacing w:after="100"/>
      </w:pPr>
      <w:r>
        <w:rPr>
          <w:rFonts w:ascii="DejaVu Sans" w:hAnsi="DejaVu Sans" w:eastAsia="DejaVu Sans"/>
          <w:color w:val="1E2528"/>
          <w:sz w:val="18"/>
        </w:rPr>
        <w:t>Herkunft, Erklärung der verwendeten Werkzeuge und Signatur verteilen Geschichte, Transparenz und Verantwortung, ohne einem Werk automatisch Wert zuzuschreiben.</w:t>
      </w:r>
    </w:p>
    <w:p>
      <w:pPr>
        <w:keepNext/>
        <w:spacing w:before="160" w:after="40"/>
      </w:pPr>
      <w:r>
        <w:rPr>
          <w:rFonts w:ascii="DejaVu Sans" w:hAnsi="DejaVu Sans" w:eastAsia="DejaVu Sans"/>
          <w:b/>
          <w:color w:val="123044"/>
          <w:sz w:val="20"/>
        </w:rPr>
        <w:t>Bindung, Minderjährige und relationale Asymmetrie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11; Verweise in Kapitel 15 und 16.</w:t>
      </w:r>
    </w:p>
    <w:p>
      <w:pPr>
        <w:keepLines/>
        <w:spacing w:after="100"/>
      </w:pPr>
      <w:r>
        <w:rPr>
          <w:rFonts w:ascii="DejaVu Sans" w:hAnsi="DejaVu Sans" w:eastAsia="DejaVu Sans"/>
          <w:color w:val="1E2528"/>
          <w:sz w:val="18"/>
        </w:rPr>
        <w:t>Trost kann je nach Gedächtnis, Anreizen, Freiheit zum Beenden und Offenheit für andere Beziehungen eine Brücke oder ein Käfig werden.</w:t>
      </w:r>
    </w:p>
    <w:p>
      <w:pPr>
        <w:keepNext/>
        <w:spacing w:before="160" w:after="40"/>
      </w:pPr>
      <w:r>
        <w:rPr>
          <w:rFonts w:ascii="DejaVu Sans" w:hAnsi="DejaVu Sans" w:eastAsia="DejaVu Sans"/>
          <w:b/>
          <w:color w:val="123044"/>
          <w:sz w:val="20"/>
        </w:rPr>
        <w:t>Privatsphäre, Profiling und nicht erfasste Intervalle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5 und 12; Verweise in Kapitel 11.</w:t>
      </w:r>
    </w:p>
    <w:p>
      <w:pPr>
        <w:keepLines/>
        <w:spacing w:after="100"/>
      </w:pPr>
      <w:r>
        <w:rPr>
          <w:rFonts w:ascii="DejaVu Sans" w:hAnsi="DejaVu Sans" w:eastAsia="DejaVu Sans"/>
          <w:color w:val="1E2528"/>
          <w:sz w:val="18"/>
        </w:rPr>
        <w:t>Schutz erlaubt nicht automatisch Steuerung; ein Mensch muss sich verändern können, ohne sofort ein operatives Profil zu erzeugen.</w:t>
      </w:r>
    </w:p>
    <w:p>
      <w:pPr>
        <w:keepNext/>
        <w:spacing w:before="160" w:after="40"/>
      </w:pPr>
      <w:r>
        <w:rPr>
          <w:rFonts w:ascii="DejaVu Sans" w:hAnsi="DejaVu Sans" w:eastAsia="DejaVu Sans"/>
          <w:b/>
          <w:color w:val="123044"/>
          <w:sz w:val="20"/>
        </w:rPr>
        <w:t>Kosten der Kontrolle, Restschaden und organisatorische Fähigkeit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7, 8 und 14; Zwischenspiel II, Die Kosten der Kontrolle und Der Schaden, der bleibt; Werkzeuge für die Lektüre.</w:t>
      </w:r>
    </w:p>
    <w:p>
      <w:pPr>
        <w:keepLines/>
        <w:spacing w:after="100"/>
      </w:pPr>
      <w:r>
        <w:rPr>
          <w:rFonts w:ascii="DejaVu Sans" w:hAnsi="DejaVu Sans" w:eastAsia="DejaVu Sans"/>
          <w:color w:val="1E2528"/>
          <w:sz w:val="18"/>
        </w:rPr>
        <w:t>Überprüfung verbraucht Zeit und Kompetenz und verspricht kein Nullrisiko: Sie muss Rekonstruktion, Abhilfe und Begrenzung ermöglichen.</w:t>
      </w:r>
    </w:p>
    <w:p>
      <w:pPr>
        <w:keepNext/>
        <w:spacing w:before="160" w:after="40"/>
      </w:pPr>
      <w:r>
        <w:rPr>
          <w:rFonts w:ascii="DejaVu Sans" w:hAnsi="DejaVu Sans" w:eastAsia="DejaVu Sans"/>
          <w:b/>
          <w:color w:val="123044"/>
          <w:sz w:val="20"/>
        </w:rPr>
        <w:t>Materielle Nachhaltigkeit und Gerechtigkeit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3 und 13; geopolitische Dimension in Kapitel 14.</w:t>
      </w:r>
    </w:p>
    <w:p>
      <w:pPr>
        <w:keepLines/>
        <w:spacing w:after="100"/>
      </w:pPr>
      <w:r>
        <w:rPr>
          <w:rFonts w:ascii="DejaVu Sans" w:hAnsi="DejaVu Sans" w:eastAsia="DejaVu Sans"/>
          <w:color w:val="1E2528"/>
          <w:sz w:val="18"/>
        </w:rPr>
        <w:t>Energie, Wasser, Mineralien, Geräte, Arbeit und Abfälle bilden eine Kette von Entscheidungen, keinen abstrakten Kostenposten.</w:t>
      </w:r>
    </w:p>
    <w:p>
      <w:pPr>
        <w:keepNext/>
        <w:spacing w:before="160" w:after="40"/>
      </w:pPr>
      <w:r>
        <w:rPr>
          <w:rFonts w:ascii="DejaVu Sans" w:hAnsi="DejaVu Sans" w:eastAsia="DejaVu Sans"/>
          <w:b/>
          <w:color w:val="123044"/>
          <w:sz w:val="20"/>
        </w:rPr>
        <w:t>Strategische Abhängigkeit, Wartung und Handlungsmacht über die Infrastruktur</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3 und 14, besonders Die Wartung entscheidet, wer Handlungsmacht behält.</w:t>
      </w:r>
    </w:p>
    <w:p>
      <w:pPr>
        <w:keepLines/>
        <w:spacing w:after="100"/>
      </w:pPr>
      <w:r>
        <w:rPr>
          <w:rFonts w:ascii="DejaVu Sans" w:hAnsi="DejaVu Sans" w:eastAsia="DejaVu Sans"/>
          <w:color w:val="1E2528"/>
          <w:sz w:val="18"/>
        </w:rPr>
        <w:t>Relative Autonomie entsteht durch Alternativen, lokale Kompetenz, Standards und konkrete Befugnisse zum Aussetzen, Korrigieren und Exportieren.</w:t>
      </w:r>
    </w:p>
    <w:p>
      <w:pPr>
        <w:keepNext/>
        <w:spacing w:before="160" w:after="40"/>
      </w:pPr>
      <w:r>
        <w:rPr>
          <w:rFonts w:ascii="DejaVu Sans" w:hAnsi="DejaVu Sans" w:eastAsia="DejaVu Sans"/>
          <w:b/>
          <w:color w:val="123044"/>
          <w:sz w:val="20"/>
        </w:rPr>
        <w:t>Ungleichheit und Zugang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4, 5, 6, 8, 12, 13 und 14.</w:t>
      </w:r>
    </w:p>
    <w:p>
      <w:pPr>
        <w:keepLines/>
        <w:spacing w:after="100"/>
      </w:pPr>
      <w:r>
        <w:rPr>
          <w:rFonts w:ascii="DejaVu Sans" w:hAnsi="DejaVu Sans" w:eastAsia="DejaVu Sans"/>
          <w:color w:val="1E2528"/>
          <w:sz w:val="18"/>
        </w:rPr>
        <w:t>Nutzen, Erwartungen, Schutz und Kosten unterscheiden sich nach Einkommen, Gebiet, Verwaltungskapazität und Zugang zu Rechtsschutz.</w:t>
      </w:r>
    </w:p>
    <w:p>
      <w:pPr>
        <w:keepNext/>
        <w:spacing w:before="160" w:after="40"/>
      </w:pPr>
      <w:r>
        <w:rPr>
          <w:rFonts w:ascii="DejaVu Sans" w:hAnsi="DejaVu Sans" w:eastAsia="DejaVu Sans"/>
          <w:b/>
          <w:color w:val="123044"/>
          <w:sz w:val="20"/>
        </w:rPr>
        <w:t>Erinnerung, Archiv, Simulation und Vergessen</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15; Vorwegnahmen in Kapitel 11 und 12; Epilog.</w:t>
      </w:r>
    </w:p>
    <w:p>
      <w:pPr>
        <w:keepLines/>
        <w:spacing w:after="100"/>
      </w:pPr>
      <w:r>
        <w:rPr>
          <w:rFonts w:ascii="DejaVu Sans" w:hAnsi="DejaVu Sans" w:eastAsia="DejaVu Sans"/>
          <w:color w:val="1E2528"/>
          <w:sz w:val="18"/>
        </w:rPr>
        <w:t>Spuren bewahren, ein Gedenkarchiv ordnen und neue Worte erzeugen sind verschiedene Handlungen mit unterschiedlichen Mandaten und Rechten.</w:t>
      </w:r>
    </w:p>
    <w:p>
      <w:pPr>
        <w:keepNext/>
        <w:spacing w:before="160" w:after="40"/>
      </w:pPr>
      <w:r>
        <w:rPr>
          <w:rFonts w:ascii="DejaVu Sans" w:hAnsi="DejaVu Sans" w:eastAsia="DejaVu Sans"/>
          <w:b/>
          <w:color w:val="123044"/>
          <w:sz w:val="20"/>
        </w:rPr>
        <w:t>Lebenszyklus, Überwachung und Ausstieg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7 und 16; Werkzeuge für die Lektüre, Vom Test zur Entscheidung.</w:t>
      </w:r>
    </w:p>
    <w:p>
      <w:pPr>
        <w:keepLines/>
        <w:spacing w:after="100"/>
      </w:pPr>
      <w:r>
        <w:rPr>
          <w:rFonts w:ascii="DejaVu Sans" w:hAnsi="DejaVu Sans" w:eastAsia="DejaVu Sans"/>
          <w:color w:val="1E2528"/>
          <w:sz w:val="18"/>
        </w:rPr>
        <w:t>Prüfbogen, Register, Störfall, Rechtsschutz, Ausstiegstest und erneute Prüfung halten das Mandat beobachtbar, wenn sich Modell, Daten, Umfang oder Verantwortliche ändern.</w:t>
      </w:r>
    </w:p>
    <w:p>
      <w:pPr>
        <w:keepNext/>
        <w:spacing w:before="160" w:after="40"/>
      </w:pPr>
      <w:r>
        <w:rPr>
          <w:rFonts w:ascii="DejaVu Sans" w:hAnsi="DejaVu Sans" w:eastAsia="DejaVu Sans"/>
          <w:b/>
          <w:color w:val="123044"/>
          <w:sz w:val="20"/>
        </w:rPr>
        <w:t>Nicht delegieren, Kosten des Neins und Wiederaufnahme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16, Wenn die Antwort lautet: nicht einführen sowie Die Kosten des Neins und die erneute Prüfung; Epilog; Werkzeuge für die Lektüre, Fall Davide.</w:t>
      </w:r>
    </w:p>
    <w:p>
      <w:pPr>
        <w:keepLines/>
        <w:spacing w:after="100"/>
      </w:pPr>
      <w:r>
        <w:rPr>
          <w:rFonts w:ascii="DejaVu Sans" w:hAnsi="DejaVu Sans" w:eastAsia="DejaVu Sans"/>
          <w:color w:val="1E2528"/>
          <w:sz w:val="18"/>
        </w:rPr>
        <w:t>Das Nein dokumentiert Schutz und Kosten, hält eine Alternative aufrecht und ermöglicht einen neuen Test, ohne die erste Entscheidung auszulöschen.</w:t>
      </w: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Themenkarte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Themenkarte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Themenkarte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