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Durchsuchbare Bibliografie</w:t>
      </w:r>
    </w:p>
    <w:p>
      <w:pPr>
        <w:pStyle w:val="Subtitle"/>
        <w:jc w:val="center"/>
      </w:pPr>
      <w:r>
        <w:rPr>
          <w:rFonts w:ascii="DejaVu Sans" w:hAnsi="DejaVu Sans" w:eastAsia="DejaVu Sans"/>
          <w:color w:val="5D6870"/>
          <w:sz w:val="25"/>
        </w:rPr>
        <w:t>Dokumentarische Quellen mit stabilen Codes und aktiven Links</w:t>
      </w:r>
    </w:p>
    <w:p>
      <w:pPr>
        <w:spacing w:before="440"/>
        <w:jc w:val="center"/>
      </w:pPr>
      <w:r>
        <w:rPr>
          <w:rFonts w:ascii="DejaVu Sans" w:hAnsi="DejaVu Sans" w:eastAsia="DejaVu Sans"/>
          <w:b/>
          <w:color w:val="B54B2A"/>
          <w:sz w:val="17"/>
        </w:rPr>
        <w:t>STAND DER DEUTSCHEN AUSGABE</w:t>
      </w:r>
    </w:p>
    <w:p>
      <w:pPr>
        <w:jc w:val="center"/>
      </w:pPr>
      <w:r>
        <w:rPr>
          <w:rFonts w:ascii="DejaVu Sans" w:hAnsi="DejaVu Sans" w:eastAsia="DejaVu Sans"/>
          <w:color w:val="234C61"/>
          <w:sz w:val="19"/>
        </w:rPr>
        <w:t>Stand der deutschen Ausgabe - Juli 2026 - Format US Letter (8,5 x 11 Zoll)</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KRITERIUM  </w:t>
            </w:r>
            <w:r>
              <w:rPr>
                <w:rFonts w:ascii="DejaVu Sans" w:hAnsi="DejaVu Sans" w:eastAsia="DejaVu Sans"/>
                <w:color w:val="1E2528"/>
                <w:sz w:val="18"/>
              </w:rPr>
              <w:t>Diese Sammlung umfasst die Quellen zur Prüfung der faktischen und regulatorischen Aussagen des Buches sowie vier zusätzliche Infrastrukturquellen für die Online-Zeitleiste. Primärquellen, Standards, Rechtsakte, Vorschläge, Leitlinien, Berichte, Aufsätze, Preprints und Unternehmensquellen bleiben getrennt eingeordnet.</w:t>
            </w:r>
          </w:p>
        </w:tc>
      </w:tr>
    </w:tbl>
    <w:p>
      <w:pPr>
        <w:spacing w:after="0"/>
      </w:pPr>
    </w:p>
    <w:p>
      <w:pPr>
        <w:pStyle w:val="Heading1"/>
      </w:pPr>
      <w:r>
        <w:t>Geschichte der künstlichen Intelligenz und der Netze</w:t>
      </w:r>
    </w:p>
    <w:p>
      <w:pPr>
        <w:spacing w:after="40"/>
        <w:ind w:left="173" w:hanging="173"/>
      </w:pPr>
      <w:r>
        <w:rPr>
          <w:rFonts w:ascii="DejaVu Sans" w:hAnsi="DejaVu Sans" w:eastAsia="DejaVu Sans"/>
          <w:b/>
          <w:color w:val="B54B2A"/>
          <w:sz w:val="15"/>
        </w:rPr>
        <w:t xml:space="preserve">[SRC-TURING-1950] </w:t>
      </w:r>
      <w:r>
        <w:rPr>
          <w:rFonts w:ascii="DejaVu Sans" w:hAnsi="DejaVu Sans" w:eastAsia="DejaVu Sans"/>
          <w:color w:val="1E2528"/>
          <w:sz w:val="16"/>
        </w:rPr>
        <w:t xml:space="preserve">A. M. Turing, Computing Machinery and Intelligence. Oxford University Press / Mind. 1950. Primärquelle. </w:t>
      </w:r>
      <w:hyperlink r:id="rId14">
        <w:r>
          <w:rPr>
            <w:rFonts w:ascii="DejaVu Sans" w:hAnsi="DejaVu Sans" w:eastAsia="DejaVu Sans"/>
            <w:color w:val="234C61"/>
            <w:u w:val="single"/>
            <w:sz w:val="16"/>
          </w:rPr>
          <w:t>https://doi.org/10.1093/mind/LIX.236.433</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[SRC-DARTMOUTH-1955] </w:t>
      </w:r>
      <w:r>
        <w:rPr>
          <w:rFonts w:ascii="DejaVu Sans" w:hAnsi="DejaVu Sans" w:eastAsia="DejaVu Sans"/>
          <w:color w:val="1E2528"/>
          <w:sz w:val="16"/>
        </w:rPr>
        <w:t xml:space="preserve">John McCarthy, Marvin L. Minsky, Nathaniel Rochester, Claude E. Shannon, A Proposal for the Dartmouth Summer Research Project on Artificial Intelligence. Dartmouth College archive. 1955. Primärquelle / offizielles Archiv. </w:t>
      </w:r>
      <w:hyperlink r:id="rId15">
        <w:r>
          <w:rPr>
            <w:rFonts w:ascii="DejaVu Sans" w:hAnsi="DejaVu Sans" w:eastAsia="DejaVu Sans"/>
            <w:color w:val="234C61"/>
            <w:u w:val="single"/>
            <w:sz w:val="16"/>
          </w:rPr>
          <w:t>https://jmc.stanford.edu/articles/dartmouth/dartmouth.pdf</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[SRC-ROSENBLATT-1958] </w:t>
      </w:r>
      <w:r>
        <w:rPr>
          <w:rFonts w:ascii="DejaVu Sans" w:hAnsi="DejaVu Sans" w:eastAsia="DejaVu Sans"/>
          <w:color w:val="1E2528"/>
          <w:sz w:val="16"/>
        </w:rPr>
        <w:t xml:space="preserve">Frank Rosenblatt, The Perceptron: A Probabilistic Model for Information Storage and Organization in the Brain. Psychological Review. 1958. Primärquelle. </w:t>
      </w:r>
      <w:hyperlink r:id="rId16">
        <w:r>
          <w:rPr>
            <w:rFonts w:ascii="DejaVu Sans" w:hAnsi="DejaVu Sans" w:eastAsia="DejaVu Sans"/>
            <w:color w:val="234C61"/>
            <w:u w:val="single"/>
            <w:sz w:val="16"/>
          </w:rPr>
          <w:t>https://doi.org/10.1037/h0042519</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[SRC-MINSKY-PAPERT-1969] </w:t>
      </w:r>
      <w:r>
        <w:rPr>
          <w:rFonts w:ascii="DejaVu Sans" w:hAnsi="DejaVu Sans" w:eastAsia="DejaVu Sans"/>
          <w:color w:val="1E2528"/>
          <w:sz w:val="16"/>
        </w:rPr>
        <w:t xml:space="preserve">Marvin Minsky und Seymour Papert, Perceptrons: An Introduction to Computational Geometry. MIT Press, 1969; erweiterte Ausgabe, 1987. Primärquelle; die Verlagsseite verweist auf die erweiterte Ausgabe. </w:t>
      </w:r>
      <w:hyperlink r:id="rId17">
        <w:r>
          <w:rPr>
            <w:rFonts w:ascii="DejaVu Sans" w:hAnsi="DejaVu Sans" w:eastAsia="DejaVu Sans"/>
            <w:color w:val="234C61"/>
            <w:u w:val="single"/>
            <w:sz w:val="16"/>
          </w:rPr>
          <w:t>https://mitpress.mit.edu/9780262631112/perceptrons/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[SRC-RHW-1986] </w:t>
      </w:r>
      <w:r>
        <w:rPr>
          <w:rFonts w:ascii="DejaVu Sans" w:hAnsi="DejaVu Sans" w:eastAsia="DejaVu Sans"/>
          <w:color w:val="1E2528"/>
          <w:sz w:val="16"/>
        </w:rPr>
        <w:t xml:space="preserve">David E. Rumelhart, Geoffrey E. Hinton, Ronald J. Williams, Learning representations by back-propagating errors. Nature. 1986. Primärquelle. </w:t>
      </w:r>
      <w:hyperlink r:id="rId18">
        <w:r>
          <w:rPr>
            <w:rFonts w:ascii="DejaVu Sans" w:hAnsi="DejaVu Sans" w:eastAsia="DejaVu Sans"/>
            <w:color w:val="234C61"/>
            <w:u w:val="single"/>
            <w:sz w:val="16"/>
          </w:rPr>
          <w:t>https://doi.org/10.1038/323533a0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[SRC-IBM-DEEPBLUE] </w:t>
      </w:r>
      <w:r>
        <w:rPr>
          <w:rFonts w:ascii="DejaVu Sans" w:hAnsi="DejaVu Sans" w:eastAsia="DejaVu Sans"/>
          <w:color w:val="1E2528"/>
          <w:sz w:val="16"/>
        </w:rPr>
        <w:t xml:space="preserve">IBM, Deep Blue. 1997. Offizielles Unternehmensarchiv. Abgerufen: 2026. </w:t>
      </w:r>
      <w:hyperlink r:id="rId19">
        <w:r>
          <w:rPr>
            <w:rFonts w:ascii="DejaVu Sans" w:hAnsi="DejaVu Sans" w:eastAsia="DejaVu Sans"/>
            <w:color w:val="234C61"/>
            <w:u w:val="single"/>
            <w:sz w:val="16"/>
          </w:rPr>
          <w:t>https://www.ibm.com/history/deep-blue</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[SRC-ALEXNET-2012] </w:t>
      </w:r>
      <w:r>
        <w:rPr>
          <w:rFonts w:ascii="DejaVu Sans" w:hAnsi="DejaVu Sans" w:eastAsia="DejaVu Sans"/>
          <w:color w:val="1E2528"/>
          <w:sz w:val="16"/>
        </w:rPr>
        <w:t xml:space="preserve">Alex Krizhevsky, Ilya Sutskever, Geoffrey E. Hinton, ImageNet Classification with Deep Convolutional Neural Networks. NeurIPS. 2012. Primärquelle. </w:t>
      </w:r>
      <w:hyperlink r:id="rId20">
        <w:r>
          <w:rPr>
            <w:rFonts w:ascii="DejaVu Sans" w:hAnsi="DejaVu Sans" w:eastAsia="DejaVu Sans"/>
            <w:color w:val="234C61"/>
            <w:u w:val="single"/>
            <w:sz w:val="16"/>
          </w:rPr>
          <w:t>https://papers.nips.cc/paper/4824-imagenet-classification-with-deep-convolutional-neural-networks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[SRC-TRANSFORMER-2017] </w:t>
      </w:r>
      <w:r>
        <w:rPr>
          <w:rFonts w:ascii="DejaVu Sans" w:hAnsi="DejaVu Sans" w:eastAsia="DejaVu Sans"/>
          <w:color w:val="1E2528"/>
          <w:sz w:val="16"/>
        </w:rPr>
        <w:t xml:space="preserve">Ashish Vaswani et al., Attention Is All You Need. NeurIPS / arXiv. 2017. Primärquelle. </w:t>
      </w:r>
      <w:hyperlink r:id="rId21">
        <w:r>
          <w:rPr>
            <w:rFonts w:ascii="DejaVu Sans" w:hAnsi="DejaVu Sans" w:eastAsia="DejaVu Sans"/>
            <w:color w:val="234C61"/>
            <w:u w:val="single"/>
            <w:sz w:val="16"/>
          </w:rPr>
          <w:t>https://arxiv.org/abs/1706.03762</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[SRC-ELIZA-1966] </w:t>
      </w:r>
      <w:r>
        <w:rPr>
          <w:rFonts w:ascii="DejaVu Sans" w:hAnsi="DejaVu Sans" w:eastAsia="DejaVu Sans"/>
          <w:color w:val="1E2528"/>
          <w:sz w:val="16"/>
        </w:rPr>
        <w:t xml:space="preserve">Joseph Weizenbaum, ELIZA - A Computer Program for the Study of Natural Language Communication Between Man and Machine. Communications of the ACM. 1966. Primärquelle. </w:t>
      </w:r>
      <w:hyperlink r:id="rId22">
        <w:r>
          <w:rPr>
            <w:rFonts w:ascii="DejaVu Sans" w:hAnsi="DejaVu Sans" w:eastAsia="DejaVu Sans"/>
            <w:color w:val="234C61"/>
            <w:u w:val="single"/>
            <w:sz w:val="16"/>
          </w:rPr>
          <w:t>https://doi.org/10.1145/365153.365168</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[SRC-OPENAI-CHATGPT] </w:t>
      </w:r>
      <w:r>
        <w:rPr>
          <w:rFonts w:ascii="DejaVu Sans" w:hAnsi="DejaVu Sans" w:eastAsia="DejaVu Sans"/>
          <w:color w:val="1E2528"/>
          <w:sz w:val="16"/>
        </w:rPr>
        <w:t xml:space="preserve">OpenAI, Introducing ChatGPT. 2022-11-30. Offizielle Unternehmensankündigung. </w:t>
      </w:r>
      <w:hyperlink r:id="rId23">
        <w:r>
          <w:rPr>
            <w:rFonts w:ascii="DejaVu Sans" w:hAnsi="DejaVu Sans" w:eastAsia="DejaVu Sans"/>
            <w:color w:val="234C61"/>
            <w:u w:val="single"/>
            <w:sz w:val="16"/>
          </w:rPr>
          <w:t>https://openai.com/index/chatgpt/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[SRC-DARPA-ARPANET-1969] </w:t>
      </w:r>
      <w:r>
        <w:rPr>
          <w:rFonts w:ascii="DejaVu Sans" w:hAnsi="DejaVu Sans" w:eastAsia="DejaVu Sans"/>
          <w:color w:val="1E2528"/>
          <w:sz w:val="16"/>
        </w:rPr>
        <w:t xml:space="preserve">DARPA, ARPANET. 1969. Offizielles institutionelles Archiv. Abgerufen 2026. </w:t>
      </w:r>
      <w:hyperlink r:id="rId24">
        <w:r>
          <w:rPr>
            <w:rFonts w:ascii="DejaVu Sans" w:hAnsi="DejaVu Sans" w:eastAsia="DejaVu Sans"/>
            <w:color w:val="234C61"/>
            <w:u w:val="single"/>
            <w:sz w:val="16"/>
          </w:rPr>
          <w:t>https://www.darpa.mil/news/features/arpanet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[SRC-ISOC-TCPIP-1983] </w:t>
      </w:r>
      <w:r>
        <w:rPr>
          <w:rFonts w:ascii="DejaVu Sans" w:hAnsi="DejaVu Sans" w:eastAsia="DejaVu Sans"/>
          <w:color w:val="1E2528"/>
          <w:sz w:val="16"/>
        </w:rPr>
        <w:t xml:space="preserve">Internet Society, New Year's Day Marks 30th Anniversary of Major Milestone for Global Internet. 2013-01-01. Institutionelle Dokumentation. </w:t>
      </w:r>
      <w:hyperlink r:id="rId25">
        <w:r>
          <w:rPr>
            <w:rFonts w:ascii="DejaVu Sans" w:hAnsi="DejaVu Sans" w:eastAsia="DejaVu Sans"/>
            <w:color w:val="234C61"/>
            <w:u w:val="single"/>
            <w:sz w:val="16"/>
          </w:rPr>
          <w:t>https://www.internetsociety.org/news/press-releases/2013/new-years-day-marks-30th-anniversary-of-major-milestone-for-global-internet/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[SRC-CERN-WEB-HISTORY] </w:t>
      </w:r>
      <w:r>
        <w:rPr>
          <w:rFonts w:ascii="DejaVu Sans" w:hAnsi="DejaVu Sans" w:eastAsia="DejaVu Sans"/>
          <w:color w:val="1E2528"/>
          <w:sz w:val="16"/>
        </w:rPr>
        <w:t xml:space="preserve">CERN, A short history of the Web. Offizielles institutionelles Archiv. Abgerufen 2026. </w:t>
      </w:r>
      <w:hyperlink r:id="rId26">
        <w:r>
          <w:rPr>
            <w:rFonts w:ascii="DejaVu Sans" w:hAnsi="DejaVu Sans" w:eastAsia="DejaVu Sans"/>
            <w:color w:val="234C61"/>
            <w:u w:val="single"/>
            <w:sz w:val="16"/>
          </w:rPr>
          <w:t>https://home.cern/science/computing/the-birth-of-the-web/short-history-web/</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[SRC-CERN-WEB-1991] </w:t>
      </w:r>
      <w:r>
        <w:rPr>
          <w:rFonts w:ascii="DejaVu Sans" w:hAnsi="DejaVu Sans" w:eastAsia="DejaVu Sans"/>
          <w:color w:val="1E2528"/>
          <w:sz w:val="16"/>
        </w:rPr>
        <w:t xml:space="preserve">CERN, The open internet and the web. 2013-04-30. Offizielle Dokumentation. </w:t>
      </w:r>
      <w:hyperlink r:id="rId27">
        <w:r>
          <w:rPr>
            <w:rFonts w:ascii="DejaVu Sans" w:hAnsi="DejaVu Sans" w:eastAsia="DejaVu Sans"/>
            <w:color w:val="234C61"/>
            <w:u w:val="single"/>
            <w:sz w:val="16"/>
          </w:rPr>
          <w:t>https://home.cern/open-internet-and-web/</w:t>
        </w:r>
      </w:hyperlink>
      <w:r>
        <w:rPr>
          <w:rFonts w:ascii="DejaVu Sans" w:hAnsi="DejaVu Sans" w:eastAsia="DejaVu Sans"/>
          <w:color w:val="1E2528"/>
          <w:sz w:val="16"/>
        </w:rPr>
        <w:t>.</w:t>
      </w:r>
    </w:p>
    <w:p>
      <w:pPr>
        <w:pStyle w:val="Heading1"/>
      </w:pPr>
      <w:r>
        <w:t>Digitale Identität, Nachweise und Standards</w:t>
      </w:r>
    </w:p>
    <w:p>
      <w:pPr>
        <w:spacing w:after="40"/>
        <w:ind w:left="173" w:hanging="173"/>
      </w:pPr>
      <w:r>
        <w:rPr>
          <w:rFonts w:ascii="DejaVu Sans" w:hAnsi="DejaVu Sans" w:eastAsia="DejaVu Sans"/>
          <w:b/>
          <w:color w:val="B54B2A"/>
          <w:sz w:val="15"/>
        </w:rPr>
        <w:t xml:space="preserve">[SRC-W3C-VC20] </w:t>
      </w:r>
      <w:r>
        <w:rPr>
          <w:rFonts w:ascii="DejaVu Sans" w:hAnsi="DejaVu Sans" w:eastAsia="DejaVu Sans"/>
          <w:color w:val="1E2528"/>
          <w:sz w:val="16"/>
        </w:rPr>
        <w:t xml:space="preserve">W3C Verifiable Credentials Working Group, Verifiable Credentials Data Model v2.0. 2025-05-15. W3C Recommendation. </w:t>
      </w:r>
      <w:hyperlink r:id="rId28">
        <w:r>
          <w:rPr>
            <w:rFonts w:ascii="DejaVu Sans" w:hAnsi="DejaVu Sans" w:eastAsia="DejaVu Sans"/>
            <w:color w:val="234C61"/>
            <w:u w:val="single"/>
            <w:sz w:val="16"/>
          </w:rPr>
          <w:t>https://www.w3.org/TR/vc-data-model-2.0/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[SRC-W3C-DI] </w:t>
      </w:r>
      <w:r>
        <w:rPr>
          <w:rFonts w:ascii="DejaVu Sans" w:hAnsi="DejaVu Sans" w:eastAsia="DejaVu Sans"/>
          <w:color w:val="1E2528"/>
          <w:sz w:val="16"/>
        </w:rPr>
        <w:t xml:space="preserve">W3C Verifiable Credentials Working Group, Verifiable Credential Data Integrity 1.0. 2025-05-15. W3C Recommendation. </w:t>
      </w:r>
      <w:hyperlink r:id="rId29">
        <w:r>
          <w:rPr>
            <w:rFonts w:ascii="DejaVu Sans" w:hAnsi="DejaVu Sans" w:eastAsia="DejaVu Sans"/>
            <w:color w:val="234C61"/>
            <w:u w:val="single"/>
            <w:sz w:val="16"/>
          </w:rPr>
          <w:t>https://www.w3.org/TR/vc-data-integrity/</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[SRC-W3C-JOSE] </w:t>
      </w:r>
      <w:r>
        <w:rPr>
          <w:rFonts w:ascii="DejaVu Sans" w:hAnsi="DejaVu Sans" w:eastAsia="DejaVu Sans"/>
          <w:color w:val="1E2528"/>
          <w:sz w:val="16"/>
        </w:rPr>
        <w:t xml:space="preserve">W3C Verifiable Credentials Working Group, Securing Verifiable Credentials using JOSE and COSE. 2025-05-15. W3C Recommendation. </w:t>
      </w:r>
      <w:hyperlink r:id="rId30">
        <w:r>
          <w:rPr>
            <w:rFonts w:ascii="DejaVu Sans" w:hAnsi="DejaVu Sans" w:eastAsia="DejaVu Sans"/>
            <w:color w:val="234C61"/>
            <w:u w:val="single"/>
            <w:sz w:val="16"/>
          </w:rPr>
          <w:t>https://www.w3.org/TR/vc-jose-cose/</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[SRC-OID4VCI] </w:t>
      </w:r>
      <w:r>
        <w:rPr>
          <w:rFonts w:ascii="DejaVu Sans" w:hAnsi="DejaVu Sans" w:eastAsia="DejaVu Sans"/>
          <w:color w:val="1E2528"/>
          <w:sz w:val="16"/>
        </w:rPr>
        <w:t xml:space="preserve">OpenID Foundation, OpenID for Verifiable Credential Issuance 1.0. 2025-09-16. Final Specification. </w:t>
      </w:r>
      <w:hyperlink r:id="rId31">
        <w:r>
          <w:rPr>
            <w:rFonts w:ascii="DejaVu Sans" w:hAnsi="DejaVu Sans" w:eastAsia="DejaVu Sans"/>
            <w:color w:val="234C61"/>
            <w:u w:val="single"/>
            <w:sz w:val="16"/>
          </w:rPr>
          <w:t>https://openid.net/specs/openid-4-verifiable-credential-issuance-1_0.html</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[SRC-OID4VP] </w:t>
      </w:r>
      <w:r>
        <w:rPr>
          <w:rFonts w:ascii="DejaVu Sans" w:hAnsi="DejaVu Sans" w:eastAsia="DejaVu Sans"/>
          <w:color w:val="1E2528"/>
          <w:sz w:val="16"/>
        </w:rPr>
        <w:t xml:space="preserve">OpenID Foundation, OpenID for Verifiable Presentations 1.0. 2025-07-09. Final Specification. </w:t>
      </w:r>
      <w:hyperlink r:id="rId32">
        <w:r>
          <w:rPr>
            <w:rFonts w:ascii="DejaVu Sans" w:hAnsi="DejaVu Sans" w:eastAsia="DejaVu Sans"/>
            <w:color w:val="234C61"/>
            <w:u w:val="single"/>
            <w:sz w:val="16"/>
          </w:rPr>
          <w:t>https://openid.net/specs/openid-4-verifiable-presentations-1_0.html</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[SRC-NIST-ID4] </w:t>
      </w:r>
      <w:r>
        <w:rPr>
          <w:rFonts w:ascii="DejaVu Sans" w:hAnsi="DejaVu Sans" w:eastAsia="DejaVu Sans"/>
          <w:color w:val="1E2528"/>
          <w:sz w:val="16"/>
        </w:rPr>
        <w:t xml:space="preserve">National Institute of Standards and Technology, Digital Identity Guidelines, NIST SP 800-63-4. 2025-07-31. Endgültiger technischer Standard. </w:t>
      </w:r>
      <w:hyperlink r:id="rId33">
        <w:r>
          <w:rPr>
            <w:rFonts w:ascii="DejaVu Sans" w:hAnsi="DejaVu Sans" w:eastAsia="DejaVu Sans"/>
            <w:color w:val="234C61"/>
            <w:u w:val="single"/>
            <w:sz w:val="16"/>
          </w:rPr>
          <w:t>https://doi.org/10.6028/NIST.SP.800-63-4</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[SRC-NIST-8202] </w:t>
      </w:r>
      <w:r>
        <w:rPr>
          <w:rFonts w:ascii="DejaVu Sans" w:hAnsi="DejaVu Sans" w:eastAsia="DejaVu Sans"/>
          <w:color w:val="1E2528"/>
          <w:sz w:val="16"/>
        </w:rPr>
        <w:t xml:space="preserve">Dylan Yaga et al., Blockchain Technology Overview, NISTIR 8202. 2018-10-03. Offizieller technischer Bericht. </w:t>
      </w:r>
      <w:hyperlink r:id="rId34">
        <w:r>
          <w:rPr>
            <w:rFonts w:ascii="DejaVu Sans" w:hAnsi="DejaVu Sans" w:eastAsia="DejaVu Sans"/>
            <w:color w:val="234C61"/>
            <w:u w:val="single"/>
            <w:sz w:val="16"/>
          </w:rPr>
          <w:t>https://doi.org/10.6028/NIST.IR.8202</w:t>
        </w:r>
      </w:hyperlink>
      <w:r>
        <w:rPr>
          <w:rFonts w:ascii="DejaVu Sans" w:hAnsi="DejaVu Sans" w:eastAsia="DejaVu Sans"/>
          <w:color w:val="1E2528"/>
          <w:sz w:val="16"/>
        </w:rPr>
        <w:t>.</w:t>
      </w:r>
    </w:p>
    <w:p>
      <w:pPr>
        <w:pStyle w:val="Heading1"/>
      </w:pPr>
      <w:r>
        <w:t>Gesundheitswesen, Gesellschaft, Bildung, Arbeit und Entwicklung</w:t>
      </w:r>
    </w:p>
    <w:p>
      <w:pPr>
        <w:spacing w:after="40"/>
        <w:ind w:left="173" w:hanging="173"/>
      </w:pPr>
      <w:r>
        <w:rPr>
          <w:rFonts w:ascii="DejaVu Sans" w:hAnsi="DejaVu Sans" w:eastAsia="DejaVu Sans"/>
          <w:b/>
          <w:color w:val="B54B2A"/>
          <w:sz w:val="15"/>
        </w:rPr>
        <w:t xml:space="preserve">[SRC-WHO-AI-HEALTH21] </w:t>
      </w:r>
      <w:r>
        <w:rPr>
          <w:rFonts w:ascii="DejaVu Sans" w:hAnsi="DejaVu Sans" w:eastAsia="DejaVu Sans"/>
          <w:color w:val="1E2528"/>
          <w:sz w:val="16"/>
        </w:rPr>
        <w:t xml:space="preserve">World Health Organization, Ethics and governance of artificial intelligence for health. 2021-06-28. Institutionelle Leitlinien. </w:t>
      </w:r>
      <w:hyperlink r:id="rId35">
        <w:r>
          <w:rPr>
            <w:rFonts w:ascii="DejaVu Sans" w:hAnsi="DejaVu Sans" w:eastAsia="DejaVu Sans"/>
            <w:color w:val="234C61"/>
            <w:u w:val="single"/>
            <w:sz w:val="16"/>
          </w:rPr>
          <w:t>https://www.who.int/publications/i/item/9789240029200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[SRC-WHO-AI-REG23] </w:t>
      </w:r>
      <w:r>
        <w:rPr>
          <w:rFonts w:ascii="DejaVu Sans" w:hAnsi="DejaVu Sans" w:eastAsia="DejaVu Sans"/>
          <w:color w:val="1E2528"/>
          <w:sz w:val="16"/>
        </w:rPr>
        <w:t xml:space="preserve">World Health Organization, Regulatory considerations on artificial intelligence for health. 2023-10-19. Institutioneller Rahmen für regulatorische Erwägungen, keine Verordnung. </w:t>
      </w:r>
      <w:hyperlink r:id="rId36">
        <w:r>
          <w:rPr>
            <w:rFonts w:ascii="DejaVu Sans" w:hAnsi="DejaVu Sans" w:eastAsia="DejaVu Sans"/>
            <w:color w:val="234C61"/>
            <w:u w:val="single"/>
            <w:sz w:val="16"/>
          </w:rPr>
          <w:t>https://www.who.int/publications/i/item/9789240078871</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[SRC-WHO-LMM24-25] </w:t>
      </w:r>
      <w:r>
        <w:rPr>
          <w:rFonts w:ascii="DejaVu Sans" w:hAnsi="DejaVu Sans" w:eastAsia="DejaVu Sans"/>
          <w:color w:val="1E2528"/>
          <w:sz w:val="16"/>
        </w:rPr>
        <w:t xml:space="preserve">World Health Organization, Ethics and governance of artificial intelligence for health: Guidance on large multi-modal models. WHO-Ausgabe und bibliografische Angabe: 2024; aktuelle institutionelle Seite, datiert auf 2025-03-25. </w:t>
      </w:r>
      <w:hyperlink r:id="rId37">
        <w:r>
          <w:rPr>
            <w:rFonts w:ascii="DejaVu Sans" w:hAnsi="DejaVu Sans" w:eastAsia="DejaVu Sans"/>
            <w:color w:val="234C61"/>
            <w:u w:val="single"/>
            <w:sz w:val="16"/>
          </w:rPr>
          <w:t>https://www.who.int/publications/i/item/9789240084759</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38">
        <w:r>
          <w:rPr>
            <w:rFonts w:ascii="DejaVu Sans" w:hAnsi="DejaVu Sans" w:eastAsia="DejaVu Sans"/>
            <w:color w:val="234C61"/>
            <w:u w:val="single"/>
            <w:sz w:val="16"/>
          </w:rPr>
          <w:t>https://www.who.int/publications/b/70584</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[SRC-WHO-AI-EU26] </w:t>
      </w:r>
      <w:r>
        <w:rPr>
          <w:rFonts w:ascii="DejaVu Sans" w:hAnsi="DejaVu Sans" w:eastAsia="DejaVu Sans"/>
          <w:color w:val="1E2528"/>
          <w:sz w:val="16"/>
        </w:rPr>
        <w:t xml:space="preserve">WHO Regional Office for Europe, Artificial intelligence is reshaping health systems: state of readiness across the European Union. 2026-04-20. Institutioneller Bericht über den Vorbereitungsstand der Gesundheitssysteme in den 27 EU-Mitgliedstaaten; kein klinischer Wirksamkeitsnachweis. WHO/EURO:2026-12707-52481-81471. </w:t>
      </w:r>
      <w:hyperlink r:id="rId39">
        <w:r>
          <w:rPr>
            <w:rFonts w:ascii="DejaVu Sans" w:hAnsi="DejaVu Sans" w:eastAsia="DejaVu Sans"/>
            <w:color w:val="234C61"/>
            <w:u w:val="single"/>
            <w:sz w:val="16"/>
          </w:rPr>
          <w:t>https://www.who.int/europe/publications/i/item/WHO-EURO-2026-12707-52481-81471</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[SRC-WHO-AI-POLICY26] </w:t>
      </w:r>
      <w:r>
        <w:rPr>
          <w:rFonts w:ascii="DejaVu Sans" w:hAnsi="DejaVu Sans" w:eastAsia="DejaVu Sans"/>
          <w:color w:val="1E2528"/>
          <w:sz w:val="16"/>
        </w:rPr>
        <w:t xml:space="preserve">World Health Organization, Artificial intelligence and evidence-informed policy: emerging challenges and opportunities: discussion paper. 2026-04-25. Institutionelles technisches Dokument; es fordert Aufsicht, Folgenabschätzungen und menschliches Urteilsvermögen. </w:t>
      </w:r>
      <w:hyperlink r:id="rId40">
        <w:r>
          <w:rPr>
            <w:rFonts w:ascii="DejaVu Sans" w:hAnsi="DejaVu Sans" w:eastAsia="DejaVu Sans"/>
            <w:color w:val="234C61"/>
            <w:u w:val="single"/>
            <w:sz w:val="16"/>
          </w:rPr>
          <w:t>https://www.who.int/publications/i/item/B09667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[SRC-MDCG-MDSW25] </w:t>
      </w:r>
      <w:r>
        <w:rPr>
          <w:rFonts w:ascii="DejaVu Sans" w:hAnsi="DejaVu Sans" w:eastAsia="DejaVu Sans"/>
          <w:color w:val="1E2528"/>
          <w:sz w:val="16"/>
        </w:rPr>
        <w:t xml:space="preserve">Medical Device Coordination Group, MDCG 2019-11 rev.1, Guidance on Qualification and Classification of Software in Regulation (EU) 2017/745 - MDR and Regulation (EU) 2017/746 - IVDR. 2025-06-17. Offizieller Leitfaden der Europäischen Kommission, kein Gesetzgebungsakt. </w:t>
      </w:r>
      <w:hyperlink r:id="rId41">
        <w:r>
          <w:rPr>
            <w:rFonts w:ascii="DejaVu Sans" w:hAnsi="DejaVu Sans" w:eastAsia="DejaVu Sans"/>
            <w:color w:val="234C61"/>
            <w:u w:val="single"/>
            <w:sz w:val="16"/>
          </w:rPr>
          <w:t>https://health.ec.europa.eu/document/download/b45335c5-1679-4c71-a91c-fc7a4d37f12b_en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[SRC-MDCG-AIA25] </w:t>
      </w:r>
      <w:r>
        <w:rPr>
          <w:rFonts w:ascii="DejaVu Sans" w:hAnsi="DejaVu Sans" w:eastAsia="DejaVu Sans"/>
          <w:color w:val="1E2528"/>
          <w:sz w:val="16"/>
        </w:rPr>
        <w:t xml:space="preserve">Artificial Intelligence Board / Medical Device Coordination Group, AIB 2025-1 - MDCG 2025-6, Interplay between the Medical Devices Regulation, the In Vitro Diagnostic Medical Devices Regulation and the Artificial Intelligence Act. 2025. Gemeinsamer offizieller Leitfaden, kein Gesetzgebungsakt. </w:t>
      </w:r>
      <w:hyperlink r:id="rId42">
        <w:r>
          <w:rPr>
            <w:rFonts w:ascii="DejaVu Sans" w:hAnsi="DejaVu Sans" w:eastAsia="DejaVu Sans"/>
            <w:color w:val="234C61"/>
            <w:u w:val="single"/>
            <w:sz w:val="16"/>
          </w:rPr>
          <w:t>https://health.ec.europa.eu/document/download/b78a17d7-e3cd-4943-851d-e02a2f22bbb4_en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[SRC-WHO-ADOLESCENT25] </w:t>
      </w:r>
      <w:r>
        <w:rPr>
          <w:rFonts w:ascii="DejaVu Sans" w:hAnsi="DejaVu Sans" w:eastAsia="DejaVu Sans"/>
          <w:color w:val="1E2528"/>
          <w:sz w:val="16"/>
        </w:rPr>
        <w:t xml:space="preserve">World Health Organization, Mental health of adolescents. Aktualisiert am 2025-09-01. Institutionelles Faktenblatt. </w:t>
      </w:r>
      <w:hyperlink r:id="rId43">
        <w:r>
          <w:rPr>
            <w:rFonts w:ascii="DejaVu Sans" w:hAnsi="DejaVu Sans" w:eastAsia="DejaVu Sans"/>
            <w:color w:val="234C61"/>
            <w:u w:val="single"/>
            <w:sz w:val="16"/>
          </w:rPr>
          <w:t>https://www.who.int/news-room/fact-sheets/detail/adolescent-mental-health</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[SRC-WHO-CONNECTION25] </w:t>
      </w:r>
      <w:r>
        <w:rPr>
          <w:rFonts w:ascii="DejaVu Sans" w:hAnsi="DejaVu Sans" w:eastAsia="DejaVu Sans"/>
          <w:color w:val="1E2528"/>
          <w:sz w:val="16"/>
        </w:rPr>
        <w:t xml:space="preserve">World Health Organization, From loneliness to social connection: charting a path to healthier societies - Report of the WHO Commission on Social Connection. 2025-06-30. Institutioneller Bericht. </w:t>
      </w:r>
      <w:hyperlink r:id="rId44">
        <w:r>
          <w:rPr>
            <w:rFonts w:ascii="DejaVu Sans" w:hAnsi="DejaVu Sans" w:eastAsia="DejaVu Sans"/>
            <w:color w:val="234C61"/>
            <w:u w:val="single"/>
            <w:sz w:val="16"/>
          </w:rPr>
          <w:t>https://www.who.int/groups/commission-on-social-connection/report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[SRC-UNICEF-AI-CHILD25] </w:t>
      </w:r>
      <w:r>
        <w:rPr>
          <w:rFonts w:ascii="DejaVu Sans" w:hAnsi="DejaVu Sans" w:eastAsia="DejaVu Sans"/>
          <w:color w:val="1E2528"/>
          <w:sz w:val="16"/>
        </w:rPr>
        <w:t xml:space="preserve">UNICEF Innocenti, Guidance on AI and Children, Version 3.0. 2025-12. Institutioneller, auf Kinderrechten beruhender Leitfaden. </w:t>
      </w:r>
      <w:hyperlink r:id="rId45">
        <w:r>
          <w:rPr>
            <w:rFonts w:ascii="DejaVu Sans" w:hAnsi="DejaVu Sans" w:eastAsia="DejaVu Sans"/>
            <w:color w:val="234C61"/>
            <w:u w:val="single"/>
            <w:sz w:val="16"/>
          </w:rPr>
          <w:t>https://www.unicef.org/innocenti/reports/policy-guidance-ai-children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[SRC-UNICEF-COMPANIONS26] </w:t>
      </w:r>
      <w:r>
        <w:rPr>
          <w:rFonts w:ascii="DejaVu Sans" w:hAnsi="DejaVu Sans" w:eastAsia="DejaVu Sans"/>
          <w:color w:val="1E2528"/>
          <w:sz w:val="16"/>
        </w:rPr>
        <w:t xml:space="preserve">UNICEF, When AI becomes a friend: Child rights risks, harms, and regulatory responses to AI chatbots and companions. 2026-06. Policy Brief; regulatorische Bestandsaufnahme mit Stand 2026-05-15, kein klinischer Nachweis. </w:t>
      </w:r>
      <w:hyperlink r:id="rId46">
        <w:r>
          <w:rPr>
            <w:rFonts w:ascii="DejaVu Sans" w:hAnsi="DejaVu Sans" w:eastAsia="DejaVu Sans"/>
            <w:color w:val="234C61"/>
            <w:u w:val="single"/>
            <w:sz w:val="16"/>
          </w:rPr>
          <w:t>https://www.unicef.org/documents/when-ai-becomes-friend-child-rights-risks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[SRC-FTC-COMPANIONS25] </w:t>
      </w:r>
      <w:r>
        <w:rPr>
          <w:rFonts w:ascii="DejaVu Sans" w:hAnsi="DejaVu Sans" w:eastAsia="DejaVu Sans"/>
          <w:color w:val="1E2528"/>
          <w:sz w:val="16"/>
        </w:rPr>
        <w:t xml:space="preserve">U.S. Federal Trade Commission, FTC Launches Inquiry into AI Chatbots Acting as Companions. 2025-09-11. Regulatorische Untersuchungsmaßnahme, kein klinisches Ergebnis. </w:t>
      </w:r>
      <w:hyperlink r:id="rId47">
        <w:r>
          <w:rPr>
            <w:rFonts w:ascii="DejaVu Sans" w:hAnsi="DejaVu Sans" w:eastAsia="DejaVu Sans"/>
            <w:color w:val="234C61"/>
            <w:u w:val="single"/>
            <w:sz w:val="16"/>
          </w:rPr>
          <w:t>https://www.ftc.gov/news-events/news/press-releases/2025/09/ftc-launches-inquiry-ai-chatbots-acting-companions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[SRC-UNESCO-GENAI-ED23] </w:t>
      </w:r>
      <w:r>
        <w:rPr>
          <w:rFonts w:ascii="DejaVu Sans" w:hAnsi="DejaVu Sans" w:eastAsia="DejaVu Sans"/>
          <w:color w:val="1E2528"/>
          <w:sz w:val="16"/>
        </w:rPr>
        <w:t xml:space="preserve">UNESCO, Guidance for generative AI in education and research. 2023-09-07, Seite aktualisiert am 2026-01-16. Institutioneller Leitfaden. </w:t>
      </w:r>
      <w:hyperlink r:id="rId48">
        <w:r>
          <w:rPr>
            <w:rFonts w:ascii="DejaVu Sans" w:hAnsi="DejaVu Sans" w:eastAsia="DejaVu Sans"/>
            <w:color w:val="234C61"/>
            <w:u w:val="single"/>
            <w:sz w:val="16"/>
          </w:rPr>
          <w:t>https://www.unesco.org/en/articles/guidance-generative-ai-education-and-research</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[SRC-ILO-GENAI-JOBS25] </w:t>
      </w:r>
      <w:r>
        <w:rPr>
          <w:rFonts w:ascii="DejaVu Sans" w:hAnsi="DejaVu Sans" w:eastAsia="DejaVu Sans"/>
          <w:color w:val="1E2528"/>
          <w:sz w:val="16"/>
        </w:rPr>
        <w:t xml:space="preserve">Paweł Gmyrek et al., Generative AI and Jobs: A Refined Global Index of Occupational Exposure. ILO Working Paper 140. 2025-05-20. Institutioneller Forschungsbericht. </w:t>
      </w:r>
      <w:hyperlink r:id="rId49">
        <w:r>
          <w:rPr>
            <w:rFonts w:ascii="DejaVu Sans" w:hAnsi="DejaVu Sans" w:eastAsia="DejaVu Sans"/>
            <w:color w:val="234C61"/>
            <w:u w:val="single"/>
            <w:sz w:val="16"/>
          </w:rPr>
          <w:t>https://doi.org/10.54394/HETP0387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[SRC-OHMAN-AFTERLIFE18] </w:t>
      </w:r>
      <w:r>
        <w:rPr>
          <w:rFonts w:ascii="DejaVu Sans" w:hAnsi="DejaVu Sans" w:eastAsia="DejaVu Sans"/>
          <w:color w:val="1E2528"/>
          <w:sz w:val="16"/>
        </w:rPr>
        <w:t xml:space="preserve">Carl Öhman, Luciano Floridi, An ethical framework for the digital afterlife industry. Nature Human Behaviour, 2, 318-320. 2018-04-09. Wissenschaftlicher Artikel. </w:t>
      </w:r>
      <w:hyperlink r:id="rId50">
        <w:r>
          <w:rPr>
            <w:rFonts w:ascii="DejaVu Sans" w:hAnsi="DejaVu Sans" w:eastAsia="DejaVu Sans"/>
            <w:color w:val="234C61"/>
            <w:u w:val="single"/>
            <w:sz w:val="16"/>
          </w:rPr>
          <w:t>https://doi.org/10.1038/s41562-018-0335-2</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[SRC-UNCTAD-TIR25] </w:t>
      </w:r>
      <w:r>
        <w:rPr>
          <w:rFonts w:ascii="DejaVu Sans" w:hAnsi="DejaVu Sans" w:eastAsia="DejaVu Sans"/>
          <w:color w:val="1E2528"/>
          <w:sz w:val="16"/>
        </w:rPr>
        <w:t xml:space="preserve">UN Trade and Development, Technology and Innovation Report 2025: Inclusive artificial intelligence for development. 2025-04-07. UN-Bericht. </w:t>
      </w:r>
      <w:hyperlink r:id="rId51">
        <w:r>
          <w:rPr>
            <w:rFonts w:ascii="DejaVu Sans" w:hAnsi="DejaVu Sans" w:eastAsia="DejaVu Sans"/>
            <w:color w:val="234C61"/>
            <w:u w:val="single"/>
            <w:sz w:val="16"/>
          </w:rPr>
          <w:t>https://unctad.org/publication/technology-and-innovation-report-2025</w:t>
        </w:r>
      </w:hyperlink>
      <w:r>
        <w:rPr>
          <w:rFonts w:ascii="DejaVu Sans" w:hAnsi="DejaVu Sans" w:eastAsia="DejaVu Sans"/>
          <w:color w:val="1E2528"/>
          <w:sz w:val="16"/>
        </w:rPr>
        <w:t>.</w:t>
      </w:r>
    </w:p>
    <w:p>
      <w:pPr>
        <w:pStyle w:val="Heading1"/>
      </w:pPr>
      <w:r>
        <w:t>Energie, Materialien und Geopolitik der Infrastrukturen</w:t>
      </w:r>
    </w:p>
    <w:p>
      <w:pPr>
        <w:spacing w:after="40"/>
        <w:ind w:left="173" w:hanging="173"/>
      </w:pPr>
      <w:r>
        <w:rPr>
          <w:rFonts w:ascii="DejaVu Sans" w:hAnsi="DejaVu Sans" w:eastAsia="DejaVu Sans"/>
          <w:b/>
          <w:color w:val="B54B2A"/>
          <w:sz w:val="15"/>
        </w:rPr>
        <w:t xml:space="preserve">[SRC-IEA-EAI25] </w:t>
      </w:r>
      <w:r>
        <w:rPr>
          <w:rFonts w:ascii="DejaVu Sans" w:hAnsi="DejaVu Sans" w:eastAsia="DejaVu Sans"/>
          <w:color w:val="1E2528"/>
          <w:sz w:val="16"/>
        </w:rPr>
        <w:t xml:space="preserve">International Energy Agency (IEA), Energy and AI. 2025-04-10. Institutioneller Bericht. </w:t>
      </w:r>
      <w:hyperlink r:id="rId52">
        <w:r>
          <w:rPr>
            <w:rFonts w:ascii="DejaVu Sans" w:hAnsi="DejaVu Sans" w:eastAsia="DejaVu Sans"/>
            <w:color w:val="234C61"/>
            <w:u w:val="single"/>
            <w:sz w:val="16"/>
          </w:rPr>
          <w:t>https://www.iea.org/reports/energy-and-ai</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[SRC-LBNL-DC24] </w:t>
      </w:r>
      <w:r>
        <w:rPr>
          <w:rFonts w:ascii="DejaVu Sans" w:hAnsi="DejaVu Sans" w:eastAsia="DejaVu Sans"/>
          <w:color w:val="1E2528"/>
          <w:sz w:val="16"/>
        </w:rPr>
        <w:t xml:space="preserve">Arman Shehabi et al., 2024 United States Data Center Energy Usage Report. Lawrence Berkeley National Laboratory / U.S. Department of Energy, 2024-12-19. Offizieller technischer Bericht. DOI 10.71468/P1WC7Q. </w:t>
      </w:r>
      <w:hyperlink r:id="rId53">
        <w:r>
          <w:rPr>
            <w:rFonts w:ascii="DejaVu Sans" w:hAnsi="DejaVu Sans" w:eastAsia="DejaVu Sans"/>
            <w:color w:val="234C61"/>
            <w:u w:val="single"/>
            <w:sz w:val="16"/>
          </w:rPr>
          <w:t>https://eta.lbl.gov/publications/2024-lbnl-data-center-energy-usage-report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[SRC-USGS-WATER] </w:t>
      </w:r>
      <w:r>
        <w:rPr>
          <w:rFonts w:ascii="DejaVu Sans" w:hAnsi="DejaVu Sans" w:eastAsia="DejaVu Sans"/>
          <w:color w:val="1E2528"/>
          <w:sz w:val="16"/>
        </w:rPr>
        <w:t xml:space="preserve">U.S. Geological Survey, Water-Use Terminology. Offizielle Seite. Abgerufen: 2026-07-15. Arbeitsdefinitionen der Begriffe withdrawal und consumptive use. </w:t>
      </w:r>
      <w:hyperlink r:id="rId54">
        <w:r>
          <w:rPr>
            <w:rFonts w:ascii="DejaVu Sans" w:hAnsi="DejaVu Sans" w:eastAsia="DejaVu Sans"/>
            <w:color w:val="234C61"/>
            <w:u w:val="single"/>
            <w:sz w:val="16"/>
          </w:rPr>
          <w:t>https://www.usgs.gov/mission-areas/water-resources/science/water-use-terminology</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[SRC-ISO-LCA14040-44] </w:t>
      </w:r>
      <w:r>
        <w:rPr>
          <w:rFonts w:ascii="DejaVu Sans" w:hAnsi="DejaVu Sans" w:eastAsia="DejaVu Sans"/>
          <w:color w:val="1E2528"/>
          <w:sz w:val="16"/>
        </w:rPr>
        <w:t xml:space="preserve">International Organization for Standardization, ISO 14040:2006, Environmental management - Life cycle assessment - Principles and framework; ISO 14044:2006, Environmental management - Life cycle assessment - Requirements and guidelines. Die aktuellen Ausgaben wurden 2022 bestätigt. Methodische Standards. </w:t>
      </w:r>
      <w:hyperlink r:id="rId55">
        <w:r>
          <w:rPr>
            <w:rFonts w:ascii="DejaVu Sans" w:hAnsi="DejaVu Sans" w:eastAsia="DejaVu Sans"/>
            <w:color w:val="234C61"/>
            <w:u w:val="single"/>
            <w:sz w:val="16"/>
          </w:rPr>
          <w:t>https://www.iso.org/standard/37456.html</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56">
        <w:r>
          <w:rPr>
            <w:rFonts w:ascii="DejaVu Sans" w:hAnsi="DejaVu Sans" w:eastAsia="DejaVu Sans"/>
            <w:color w:val="234C61"/>
            <w:u w:val="single"/>
            <w:sz w:val="16"/>
          </w:rPr>
          <w:t>https://www.iso.org/standard/38498.html</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[SRC-USGS-MCS26] </w:t>
      </w:r>
      <w:r>
        <w:rPr>
          <w:rFonts w:ascii="DejaVu Sans" w:hAnsi="DejaVu Sans" w:eastAsia="DejaVu Sans"/>
          <w:color w:val="1E2528"/>
          <w:sz w:val="16"/>
        </w:rPr>
        <w:t xml:space="preserve">U.S. Geological Survey, Mineral Commodity Summaries 2026. Version 1.3, Mai 2026. Offizieller Bericht. </w:t>
      </w:r>
      <w:hyperlink r:id="rId57">
        <w:r>
          <w:rPr>
            <w:rFonts w:ascii="DejaVu Sans" w:hAnsi="DejaVu Sans" w:eastAsia="DejaVu Sans"/>
            <w:color w:val="234C61"/>
            <w:u w:val="single"/>
            <w:sz w:val="16"/>
          </w:rPr>
          <w:t>https://doi.org/10.3133/mcs2026</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[SRC-IEA-CM25] </w:t>
      </w:r>
      <w:r>
        <w:rPr>
          <w:rFonts w:ascii="DejaVu Sans" w:hAnsi="DejaVu Sans" w:eastAsia="DejaVu Sans"/>
          <w:color w:val="1E2528"/>
          <w:sz w:val="16"/>
        </w:rPr>
        <w:t xml:space="preserve">International Energy Agency (IEA), Global Critical Minerals Outlook 2025. 2025. Institutioneller Bericht. </w:t>
      </w:r>
      <w:hyperlink r:id="rId58">
        <w:r>
          <w:rPr>
            <w:rFonts w:ascii="DejaVu Sans" w:hAnsi="DejaVu Sans" w:eastAsia="DejaVu Sans"/>
            <w:color w:val="234C61"/>
            <w:u w:val="single"/>
            <w:sz w:val="16"/>
          </w:rPr>
          <w:t>https://www.iea.org/reports/global-critical-minerals-outlook-2025</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[SRC-UNITAR-EW24] </w:t>
      </w:r>
      <w:r>
        <w:rPr>
          <w:rFonts w:ascii="DejaVu Sans" w:hAnsi="DejaVu Sans" w:eastAsia="DejaVu Sans"/>
          <w:color w:val="1E2528"/>
          <w:sz w:val="16"/>
        </w:rPr>
        <w:t xml:space="preserve">UNITAR SCYCLE und International Telecommunication Union, Global E-waste Monitor 2024. 2024-03-20. UN-Bericht. </w:t>
      </w:r>
      <w:hyperlink r:id="rId59">
        <w:r>
          <w:rPr>
            <w:rFonts w:ascii="DejaVu Sans" w:hAnsi="DejaVu Sans" w:eastAsia="DejaVu Sans"/>
            <w:color w:val="234C61"/>
            <w:u w:val="single"/>
            <w:sz w:val="16"/>
          </w:rPr>
          <w:t>https://www.itu.int/hub/publication/d-gen-e_waste-01-2024/</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[SRC-STARCLOUD1-25] </w:t>
      </w:r>
      <w:r>
        <w:rPr>
          <w:rFonts w:ascii="DejaVu Sans" w:hAnsi="DejaVu Sans" w:eastAsia="DejaVu Sans"/>
          <w:color w:val="1E2528"/>
          <w:sz w:val="16"/>
        </w:rPr>
        <w:t xml:space="preserve">Starcloud, Starcloud-1. Unternehmensseite über die eigene Tätigkeit; sie gibt an, der Satellit sei im November 2025 gestartet worden, ohne Größenordnung oder kommerzielle Machbarkeit zu belegen. Abgerufen: 2026-07-17. </w:t>
      </w:r>
      <w:hyperlink r:id="rId60">
        <w:r>
          <w:rPr>
            <w:rFonts w:ascii="DejaVu Sans" w:hAnsi="DejaVu Sans" w:eastAsia="DejaVu Sans"/>
            <w:color w:val="234C61"/>
            <w:u w:val="single"/>
            <w:sz w:val="16"/>
          </w:rPr>
          <w:t>https://www.starcloud.com/starcloud-1</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[SRC-AXIOM-ODC26] </w:t>
      </w:r>
      <w:r>
        <w:rPr>
          <w:rFonts w:ascii="DejaVu Sans" w:hAnsi="DejaVu Sans" w:eastAsia="DejaVu Sans"/>
          <w:color w:val="1E2528"/>
          <w:sz w:val="16"/>
        </w:rPr>
        <w:t xml:space="preserve">Axiom Space, Orbital Data Centers. Unternehmensseite über die eigene Tätigkeit; sie gibt an, die ersten beiden dedizierten Knoten seien am 11. Januar 2026 in eine niedrige Erdumlaufbahn gestartet worden. Abgerufen: 2026-07-17. </w:t>
      </w:r>
      <w:hyperlink r:id="rId61">
        <w:r>
          <w:rPr>
            <w:rFonts w:ascii="DejaVu Sans" w:hAnsi="DejaVu Sans" w:eastAsia="DejaVu Sans"/>
            <w:color w:val="234C61"/>
            <w:u w:val="single"/>
            <w:sz w:val="16"/>
          </w:rPr>
          <w:t>https://www.axiomspace.com/orbital-data-center</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[SRC-GOOGLE-SUNCATCHER25] </w:t>
      </w:r>
      <w:r>
        <w:rPr>
          <w:rFonts w:ascii="DejaVu Sans" w:hAnsi="DejaVu Sans" w:eastAsia="DejaVu Sans"/>
          <w:color w:val="1E2528"/>
          <w:sz w:val="16"/>
        </w:rPr>
        <w:t xml:space="preserve">Google Research, Exploring a space-based, scalable AI infrastructure system design. 2025-11-04. Unternehmensankündigung zu Project Suncatcher; bei den beiden für Anfang 2027 vorgesehenen Prototypsatelliten handelt es sich weiterhin um ein angekündigtes Vorhaben, nicht um einen bereits erfolgten Start. Abgerufen: 2026-07-17. </w:t>
      </w:r>
      <w:hyperlink r:id="rId62">
        <w:r>
          <w:rPr>
            <w:rFonts w:ascii="DejaVu Sans" w:hAnsi="DejaVu Sans" w:eastAsia="DejaVu Sans"/>
            <w:color w:val="234C61"/>
            <w:u w:val="single"/>
            <w:sz w:val="16"/>
          </w:rPr>
          <w:t>https://research.google/blog/exploring-a-space-based-scalable-ai-infrastructure-system-design/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[SRC-CORDIS-ASCEND] </w:t>
      </w:r>
      <w:r>
        <w:rPr>
          <w:rFonts w:ascii="DejaVu Sans" w:hAnsi="DejaVu Sans" w:eastAsia="DejaVu Sans"/>
          <w:color w:val="1E2528"/>
          <w:sz w:val="16"/>
        </w:rPr>
        <w:t xml:space="preserve">Europäische Kommission, CORDIS, Advanced Space Cloud for European Net zero emissions and Data sovereignty (ASCEND), grant agreement 101082517: Fact Sheet und Periodic Reporting. Projekt: 2023-01-01-2024-04-30; Bericht aktualisiert am 2026-01-14. Institutionelles Fact Sheet und institutioneller Machbarkeitsbericht; keine unabhängige technische Quelle. Projekt-DOI 10.3030/101082517. Abgerufen: 2026-07-17. </w:t>
      </w:r>
      <w:hyperlink r:id="rId63">
        <w:r>
          <w:rPr>
            <w:rFonts w:ascii="DejaVu Sans" w:hAnsi="DejaVu Sans" w:eastAsia="DejaVu Sans"/>
            <w:color w:val="234C61"/>
            <w:u w:val="single"/>
            <w:sz w:val="16"/>
          </w:rPr>
          <w:t>https://cordis.europa.eu/project/id/101082517</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64">
        <w:r>
          <w:rPr>
            <w:rFonts w:ascii="DejaVu Sans" w:hAnsi="DejaVu Sans" w:eastAsia="DejaVu Sans"/>
            <w:color w:val="234C61"/>
            <w:u w:val="single"/>
            <w:sz w:val="16"/>
          </w:rPr>
          <w:t>https://cordis.europa.eu/project/id/101082517/reporting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[SRC-TURYSHEV-ODC26] </w:t>
      </w:r>
      <w:r>
        <w:rPr>
          <w:rFonts w:ascii="DejaVu Sans" w:hAnsi="DejaVu Sans" w:eastAsia="DejaVu Sans"/>
          <w:color w:val="1E2528"/>
          <w:sz w:val="16"/>
        </w:rPr>
        <w:t xml:space="preserve">Slava G. Turyshev, Orbital Data Centers: Spacecraft Constraints and Economic Viability. 2026-04-29. Unabhängiger technischer Preprint, arXiv:2604.27197. DOI 10.48550/arXiv.2604.27197. Abgerufen: 2026-07-17. </w:t>
      </w:r>
      <w:hyperlink r:id="rId65">
        <w:r>
          <w:rPr>
            <w:rFonts w:ascii="DejaVu Sans" w:hAnsi="DejaVu Sans" w:eastAsia="DejaVu Sans"/>
            <w:color w:val="234C61"/>
            <w:u w:val="single"/>
            <w:sz w:val="16"/>
          </w:rPr>
          <w:t>https://arxiv.org/abs/2604.27197</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66">
        <w:r>
          <w:rPr>
            <w:rFonts w:ascii="DejaVu Sans" w:hAnsi="DejaVu Sans" w:eastAsia="DejaVu Sans"/>
            <w:color w:val="234C61"/>
            <w:u w:val="single"/>
            <w:sz w:val="16"/>
          </w:rPr>
          <w:t>https://doi.org/10.48550/arXiv.2604.27197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[SRC-ALAHMAD-SBDC26] </w:t>
      </w:r>
      <w:r>
        <w:rPr>
          <w:rFonts w:ascii="DejaVu Sans" w:hAnsi="DejaVu Sans" w:eastAsia="DejaVu Sans"/>
          <w:color w:val="1E2528"/>
          <w:sz w:val="16"/>
        </w:rPr>
        <w:t xml:space="preserve">Mahmoud Al Ahmad, Qurban Memon und Michael Pecht, Reliability and Risk in Space-Based Data Centers: A Lifecycle Assessment of Orbital Cloud Infrastructure. Applied Sciences, 16(11), 5247. 2026-05-23. Unabhängiger, peer-reviewter technischer Fachartikel. DOI 10.3390/app16115247. Abgerufen: 2026-07-17. </w:t>
      </w:r>
      <w:hyperlink r:id="rId67">
        <w:r>
          <w:rPr>
            <w:rFonts w:ascii="DejaVu Sans" w:hAnsi="DejaVu Sans" w:eastAsia="DejaVu Sans"/>
            <w:color w:val="234C61"/>
            <w:u w:val="single"/>
            <w:sz w:val="16"/>
          </w:rPr>
          <w:t>https://www.mdpi.com/2076-3417/16/11/5247</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68">
        <w:r>
          <w:rPr>
            <w:rFonts w:ascii="DejaVu Sans" w:hAnsi="DejaVu Sans" w:eastAsia="DejaVu Sans"/>
            <w:color w:val="234C61"/>
            <w:u w:val="single"/>
            <w:sz w:val="16"/>
          </w:rPr>
          <w:t>https://doi.org/10.3390/app16115247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[SRC-WILSON-LCSA23] </w:t>
      </w:r>
      <w:r>
        <w:rPr>
          <w:rFonts w:ascii="DejaVu Sans" w:hAnsi="DejaVu Sans" w:eastAsia="DejaVu Sans"/>
          <w:color w:val="1E2528"/>
          <w:sz w:val="16"/>
        </w:rPr>
        <w:t xml:space="preserve">Andrew R. Wilson, Massimiliano Vasile, Christie Maddock und Keith Baker, Implementing life cycle sustainability assessment for improved space mission design. Integrated Environmental Assessment and Management, 19, 1002-1022, 2023. Unabhängiger, peer-reviewter technischer Fachartikel. DOI 10.1002/ieam.4722. Abgerufen: 2026-07-17. </w:t>
      </w:r>
      <w:hyperlink r:id="rId69">
        <w:r>
          <w:rPr>
            <w:rFonts w:ascii="DejaVu Sans" w:hAnsi="DejaVu Sans" w:eastAsia="DejaVu Sans"/>
            <w:color w:val="234C61"/>
            <w:u w:val="single"/>
            <w:sz w:val="16"/>
          </w:rPr>
          <w:t>https://onlinelibrary.wiley.com/doi/10.1002/ieam.4722</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70">
        <w:r>
          <w:rPr>
            <w:rFonts w:ascii="DejaVu Sans" w:hAnsi="DejaVu Sans" w:eastAsia="DejaVu Sans"/>
            <w:color w:val="234C61"/>
            <w:u w:val="single"/>
            <w:sz w:val="16"/>
          </w:rPr>
          <w:t>https://doi.org/10.1002/ieam.4722</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[SRC-MURPHY-REENTRY23] </w:t>
      </w:r>
      <w:r>
        <w:rPr>
          <w:rFonts w:ascii="DejaVu Sans" w:hAnsi="DejaVu Sans" w:eastAsia="DejaVu Sans"/>
          <w:color w:val="1E2528"/>
          <w:sz w:val="16"/>
        </w:rPr>
        <w:t xml:space="preserve">Daniel M. Murphy et al., Metals from spacecraft reentry in stratospheric aerosol particles. Proceedings of the National Academy of Sciences, 120(43), 2023. Unabhängiger, peer-reviewter wissenschaftlicher Artikel; eine Kopie befindet sich im institutionellen NOAA-Repositorium. DOI 10.1073/pnas.2313374120. Abgerufen: 2026-07-17. </w:t>
      </w:r>
      <w:hyperlink r:id="rId71">
        <w:r>
          <w:rPr>
            <w:rFonts w:ascii="DejaVu Sans" w:hAnsi="DejaVu Sans" w:eastAsia="DejaVu Sans"/>
            <w:color w:val="234C61"/>
            <w:u w:val="single"/>
            <w:sz w:val="16"/>
          </w:rPr>
          <w:t>https://repository.library.noaa.gov/view/noaa/58476</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72">
        <w:r>
          <w:rPr>
            <w:rFonts w:ascii="DejaVu Sans" w:hAnsi="DejaVu Sans" w:eastAsia="DejaVu Sans"/>
            <w:color w:val="234C61"/>
            <w:u w:val="single"/>
            <w:sz w:val="16"/>
          </w:rPr>
          <w:t>https://doi.org/10.1073/pnas.2313374120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[SRC-KPA-MOMBASA] </w:t>
      </w:r>
      <w:r>
        <w:rPr>
          <w:rFonts w:ascii="DejaVu Sans" w:hAnsi="DejaVu Sans" w:eastAsia="DejaVu Sans"/>
          <w:color w:val="1E2528"/>
          <w:sz w:val="16"/>
        </w:rPr>
        <w:t xml:space="preserve">Kenya Ports Authority, Port of Mombasa. Institutionelle Seite zur multimodalen Anbindung des Hafens an das Hinterland. Abgerufen: 2026-07-17. </w:t>
      </w:r>
      <w:hyperlink r:id="rId73">
        <w:r>
          <w:rPr>
            <w:rFonts w:ascii="DejaVu Sans" w:hAnsi="DejaVu Sans" w:eastAsia="DejaVu Sans"/>
            <w:color w:val="234C61"/>
            <w:u w:val="single"/>
            <w:sz w:val="16"/>
          </w:rPr>
          <w:t>https://kpa.co.ke/Ports/PortOfMombasa</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[SRC-NCTTCA-NORTHERN-CORRIDOR] </w:t>
      </w:r>
      <w:r>
        <w:rPr>
          <w:rFonts w:ascii="DejaVu Sans" w:hAnsi="DejaVu Sans" w:eastAsia="DejaVu Sans"/>
          <w:color w:val="1E2528"/>
          <w:sz w:val="16"/>
        </w:rPr>
        <w:t xml:space="preserve">Northern Corridor Transit and Transport Coordination Authority, Who We Are. Institutionelle Seite zum Nordkorridor zwischen dem Hafen von Mombasa und den Ländern ohne Meereszugang in der Region der Großen Seen. Abgerufen: 2026-07-17. </w:t>
      </w:r>
      <w:hyperlink r:id="rId74">
        <w:r>
          <w:rPr>
            <w:rFonts w:ascii="DejaVu Sans" w:hAnsi="DejaVu Sans" w:eastAsia="DejaVu Sans"/>
            <w:color w:val="234C61"/>
            <w:u w:val="single"/>
            <w:sz w:val="16"/>
          </w:rPr>
          <w:t>https://www.ttcanc.org/node/70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[SRC-NIST-CHIPS-SUPPLY] </w:t>
      </w:r>
      <w:r>
        <w:rPr>
          <w:rFonts w:ascii="DejaVu Sans" w:hAnsi="DejaVu Sans" w:eastAsia="DejaVu Sans"/>
          <w:color w:val="1E2528"/>
          <w:sz w:val="16"/>
        </w:rPr>
        <w:t xml:space="preserve">NIST, Vision for Success: Facilities for Semiconductor Materials and Manufacturing Equipment. NIST / CHIPS for America. 2023-06-22. Offizielle Dokumentation. </w:t>
      </w:r>
      <w:hyperlink r:id="rId75">
        <w:r>
          <w:rPr>
            <w:rFonts w:ascii="DejaVu Sans" w:hAnsi="DejaVu Sans" w:eastAsia="DejaVu Sans"/>
            <w:color w:val="234C61"/>
            <w:u w:val="single"/>
            <w:sz w:val="16"/>
          </w:rPr>
          <w:t>https://www.nist.gov/chips/vision-success-facilities-semiconductor-materials-and-manufacturing-equipment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[SRC-GAO-SEMI22] </w:t>
      </w:r>
      <w:r>
        <w:rPr>
          <w:rFonts w:ascii="DejaVu Sans" w:hAnsi="DejaVu Sans" w:eastAsia="DejaVu Sans"/>
          <w:color w:val="1E2528"/>
          <w:sz w:val="16"/>
        </w:rPr>
        <w:t xml:space="preserve">U.S. Government Accountability Office, Semiconductor Supply Chain: Policy Considerations from Selected Experts for Reducing Risks and Mitigating Shortages. 2022-07-26. Offizieller Bericht. </w:t>
      </w:r>
      <w:hyperlink r:id="rId76">
        <w:r>
          <w:rPr>
            <w:rFonts w:ascii="DejaVu Sans" w:hAnsi="DejaVu Sans" w:eastAsia="DejaVu Sans"/>
            <w:color w:val="234C61"/>
            <w:u w:val="single"/>
            <w:sz w:val="16"/>
          </w:rPr>
          <w:t>https://www.gao.gov/products/gao-22-105923</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[SRC-EU-CHIPS] </w:t>
      </w:r>
      <w:r>
        <w:rPr>
          <w:rFonts w:ascii="DejaVu Sans" w:hAnsi="DejaVu Sans" w:eastAsia="DejaVu Sans"/>
          <w:color w:val="1E2528"/>
          <w:sz w:val="16"/>
        </w:rPr>
        <w:t xml:space="preserve">Europäische Kommission, European Chips Act. Institutionelle Seite zum geltenden Rahmen; kein Rechtsakt. Abgerufen: 2026. </w:t>
      </w:r>
      <w:hyperlink r:id="rId77">
        <w:r>
          <w:rPr>
            <w:rFonts w:ascii="DejaVu Sans" w:hAnsi="DejaVu Sans" w:eastAsia="DejaVu Sans"/>
            <w:color w:val="234C61"/>
            <w:u w:val="single"/>
            <w:sz w:val="16"/>
          </w:rPr>
          <w:t>https://digital-strategy.ec.europa.eu/en/policies/european-chips-act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[SRC-EU-CHIPS2-26] </w:t>
      </w:r>
      <w:r>
        <w:rPr>
          <w:rFonts w:ascii="DejaVu Sans" w:hAnsi="DejaVu Sans" w:eastAsia="DejaVu Sans"/>
          <w:color w:val="1E2528"/>
          <w:sz w:val="16"/>
        </w:rPr>
        <w:t xml:space="preserve">Europäische Kommission, Proposal for the Chips Act 2.0. 2026-06-03. Gesetzgebungsvorschlag, kein geltendes Recht. </w:t>
      </w:r>
      <w:hyperlink r:id="rId78">
        <w:r>
          <w:rPr>
            <w:rFonts w:ascii="DejaVu Sans" w:hAnsi="DejaVu Sans" w:eastAsia="DejaVu Sans"/>
            <w:color w:val="234C61"/>
            <w:u w:val="single"/>
            <w:sz w:val="16"/>
          </w:rPr>
          <w:t>https://digital-strategy.ec.europa.eu/en/library/proposal-chips-act-20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[SRC-BIS-AC26] </w:t>
      </w:r>
      <w:r>
        <w:rPr>
          <w:rFonts w:ascii="DejaVu Sans" w:hAnsi="DejaVu Sans" w:eastAsia="DejaVu Sans"/>
          <w:color w:val="1E2528"/>
          <w:sz w:val="16"/>
        </w:rPr>
        <w:t xml:space="preserve">U.S. Bureau of Industry and Security, Revision to License Review Policy for Advanced Computing Commodities. Endgültige Regelung, 91 FR 1684, 15 CFR parts 742, 744 und 748, veröffentlicht und wirksam am 2026-01-15; Extension of Authorized Integrated Circuit Designer Status, 91 FR 17851, veröffentlicht am 2026-04-09 und wirksam seit 2026-04-07; Guidance on Advanced Computing Items, FAQ vom 2026-05. Amtliche Rechtsakte und Leitlinien; die Anwendbarkeit ist anhand der geltenden EAR und der konkreten Transaktion zu prüfen. Abgerufen: 2026-07-17. </w:t>
      </w:r>
      <w:hyperlink r:id="rId79">
        <w:r>
          <w:rPr>
            <w:rFonts w:ascii="DejaVu Sans" w:hAnsi="DejaVu Sans" w:eastAsia="DejaVu Sans"/>
            <w:color w:val="234C61"/>
            <w:u w:val="single"/>
            <w:sz w:val="16"/>
          </w:rPr>
          <w:t>https://www.federalregister.gov/documents/2026/01/15/2026-00789/revision-to-license-review-policy-for-advanced-computing-commodities</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0">
        <w:r>
          <w:rPr>
            <w:rFonts w:ascii="DejaVu Sans" w:hAnsi="DejaVu Sans" w:eastAsia="DejaVu Sans"/>
            <w:color w:val="234C61"/>
            <w:u w:val="single"/>
            <w:sz w:val="16"/>
          </w:rPr>
          <w:t>https://www.bis.gov/regulations/federal-register-notices</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1">
        <w:r>
          <w:rPr>
            <w:rFonts w:ascii="DejaVu Sans" w:hAnsi="DejaVu Sans" w:eastAsia="DejaVu Sans"/>
            <w:color w:val="234C61"/>
            <w:u w:val="single"/>
            <w:sz w:val="16"/>
          </w:rPr>
          <w:t>https://www.bis.gov/regulations/ear/744</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2">
        <w:r>
          <w:rPr>
            <w:rFonts w:ascii="DejaVu Sans" w:hAnsi="DejaVu Sans" w:eastAsia="DejaVu Sans"/>
            <w:color w:val="234C61"/>
            <w:u w:val="single"/>
            <w:sz w:val="16"/>
          </w:rPr>
          <w:t>https://www.bis.gov/regulations/ear/748</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[SRC-ITU-CABLES26] </w:t>
      </w:r>
      <w:r>
        <w:rPr>
          <w:rFonts w:ascii="DejaVu Sans" w:hAnsi="DejaVu Sans" w:eastAsia="DejaVu Sans"/>
          <w:color w:val="1E2528"/>
          <w:sz w:val="16"/>
        </w:rPr>
        <w:t xml:space="preserve">International Telecommunication Union und International Cable Protection Committee, International Advisory Body on Submarine Cable Resilience - Report of the Working Groups 2026. Verabschiedet am 2026-07-10. Institutioneller Abschlussbericht. </w:t>
      </w:r>
      <w:hyperlink r:id="rId83">
        <w:r>
          <w:rPr>
            <w:rFonts w:ascii="DejaVu Sans" w:hAnsi="DejaVu Sans" w:eastAsia="DejaVu Sans"/>
            <w:color w:val="234C61"/>
            <w:u w:val="single"/>
            <w:sz w:val="16"/>
          </w:rPr>
          <w:t>https://www.itu.int/hub/publication/s-iab-wg-2026/</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[SRC-CMA-CLOUD25] </w:t>
      </w:r>
      <w:r>
        <w:rPr>
          <w:rFonts w:ascii="DejaVu Sans" w:hAnsi="DejaVu Sans" w:eastAsia="DejaVu Sans"/>
          <w:color w:val="1E2528"/>
          <w:sz w:val="16"/>
        </w:rPr>
        <w:t xml:space="preserve">UK Competition and Markets Authority, Cloud services market investigation - final decision. 2025-07-31. Endgültige Entscheidung der Wettbewerbsbehörde zum britischen Markt für öffentliche Cloud-Infrastruktur; Aktualisierung: Actions on cloud and business software through the UK digital markets competition regime vom 2026-03-31 sowie Einleitung der SMS-Untersuchung zum Microsoft-Software-Ökosystem am 2026-05-14. </w:t>
      </w:r>
      <w:hyperlink r:id="rId84">
        <w:r>
          <w:rPr>
            <w:rFonts w:ascii="DejaVu Sans" w:hAnsi="DejaVu Sans" w:eastAsia="DejaVu Sans"/>
            <w:color w:val="234C61"/>
            <w:u w:val="single"/>
            <w:sz w:val="16"/>
          </w:rPr>
          <w:t>https://www.gov.uk/cma-cases/cloud-services-market-investigation</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5">
        <w:r>
          <w:rPr>
            <w:rFonts w:ascii="DejaVu Sans" w:hAnsi="DejaVu Sans" w:eastAsia="DejaVu Sans"/>
            <w:color w:val="234C61"/>
            <w:u w:val="single"/>
            <w:sz w:val="16"/>
          </w:rPr>
          <w:t>https://www.gov.uk/government/publications/business-software-and-cloud-services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[SRC-ENISA-TL25] </w:t>
      </w:r>
      <w:r>
        <w:rPr>
          <w:rFonts w:ascii="DejaVu Sans" w:hAnsi="DejaVu Sans" w:eastAsia="DejaVu Sans"/>
          <w:color w:val="1E2528"/>
          <w:sz w:val="16"/>
        </w:rPr>
        <w:t xml:space="preserve">ENISA, ENISA Threat Landscape 2025. 2025-10-01. Offizieller Bericht. </w:t>
      </w:r>
      <w:hyperlink r:id="rId86">
        <w:r>
          <w:rPr>
            <w:rFonts w:ascii="DejaVu Sans" w:hAnsi="DejaVu Sans" w:eastAsia="DejaVu Sans"/>
            <w:color w:val="234C61"/>
            <w:u w:val="single"/>
            <w:sz w:val="16"/>
          </w:rPr>
          <w:t>https://www.enisa.europa.eu/publications/enisa-threat-landscape-2025</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[SRC-ENISA-FRONTIER26] </w:t>
      </w:r>
      <w:r>
        <w:rPr>
          <w:rFonts w:ascii="DejaVu Sans" w:hAnsi="DejaVu Sans" w:eastAsia="DejaVu Sans"/>
          <w:color w:val="1E2528"/>
          <w:sz w:val="16"/>
        </w:rPr>
        <w:t xml:space="preserve">ENISA, ENISA’s view on Cybersecurity in the Frontier AI Era. 2026-07-07. Offizieller Bericht mit ersten Empfehlungen für operative Kapazitäten gegen Bedrohungen mit Maschinengeschwindigkeit; er ersetzt den jährlichen Threat Landscape nicht. </w:t>
      </w:r>
      <w:hyperlink r:id="rId87">
        <w:r>
          <w:rPr>
            <w:rFonts w:ascii="DejaVu Sans" w:hAnsi="DejaVu Sans" w:eastAsia="DejaVu Sans"/>
            <w:color w:val="234C61"/>
            <w:u w:val="single"/>
            <w:sz w:val="16"/>
          </w:rPr>
          <w:t>https://www.enisa.europa.eu/publications/enisas-view-on-cybersecurity-in-the-frontier-ai-era</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[SRC-UN-CYBER] </w:t>
      </w:r>
      <w:r>
        <w:rPr>
          <w:rFonts w:ascii="DejaVu Sans" w:hAnsi="DejaVu Sans" w:eastAsia="DejaVu Sans"/>
          <w:color w:val="1E2528"/>
          <w:sz w:val="16"/>
        </w:rPr>
        <w:t xml:space="preserve">Vereinte Nationen, Final substantive report of the Open-ended Working Group on developments in the field of information and telecommunications in the context of international security, A/75/816. 2021-03-18. Offizieller UN-Bericht. </w:t>
      </w:r>
      <w:hyperlink r:id="rId88">
        <w:r>
          <w:rPr>
            <w:rFonts w:ascii="DejaVu Sans" w:hAnsi="DejaVu Sans" w:eastAsia="DejaVu Sans"/>
            <w:color w:val="234C61"/>
            <w:u w:val="single"/>
            <w:sz w:val="16"/>
          </w:rPr>
          <w:t>https://digitallibrary.un.org/record/3908015</w:t>
        </w:r>
      </w:hyperlink>
      <w:r>
        <w:rPr>
          <w:rFonts w:ascii="DejaVu Sans" w:hAnsi="DejaVu Sans" w:eastAsia="DejaVu Sans"/>
          <w:color w:val="1E2528"/>
          <w:sz w:val="16"/>
        </w:rPr>
        <w:t>.</w:t>
      </w:r>
    </w:p>
    <w:p>
      <w:pPr>
        <w:pStyle w:val="Heading1"/>
      </w:pPr>
      <w:r>
        <w:t>Recht, Regulierung und institutionelle Leitlinien</w:t>
      </w:r>
    </w:p>
    <w:p>
      <w:pPr>
        <w:spacing w:after="40"/>
        <w:ind w:left="173" w:hanging="173"/>
      </w:pPr>
      <w:r>
        <w:rPr>
          <w:rFonts w:ascii="DejaVu Sans" w:hAnsi="DejaVu Sans" w:eastAsia="DejaVu Sans"/>
          <w:b/>
          <w:color w:val="B54B2A"/>
          <w:sz w:val="15"/>
        </w:rPr>
        <w:t xml:space="preserve">[SRC-LIARS-DIVIDEND] </w:t>
      </w:r>
      <w:r>
        <w:rPr>
          <w:rFonts w:ascii="DejaVu Sans" w:hAnsi="DejaVu Sans" w:eastAsia="DejaVu Sans"/>
          <w:color w:val="1E2528"/>
          <w:sz w:val="16"/>
        </w:rPr>
        <w:t xml:space="preserve">Robert Chesney und Danielle Keats Citron, Deep Fakes: A Looming Challenge for Privacy, Democracy, and National Security. California Law Review, vol. 107, 2019, S. 1753-1819. Primärquelle für das Konzept der „liar’s dividend“; DOI 10.15779/Z38RV0D15J. </w:t>
      </w:r>
      <w:hyperlink r:id="rId89">
        <w:r>
          <w:rPr>
            <w:rFonts w:ascii="DejaVu Sans" w:hAnsi="DejaVu Sans" w:eastAsia="DejaVu Sans"/>
            <w:color w:val="234C61"/>
            <w:u w:val="single"/>
            <w:sz w:val="16"/>
          </w:rPr>
          <w:t>https://www.californialawreview.org/print/deep-fakes-a-looming-challenge-for-privacy-democracy-and-national-security</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[SRC-S34-001] </w:t>
      </w:r>
      <w:r>
        <w:rPr>
          <w:rFonts w:ascii="DejaVu Sans" w:hAnsi="DejaVu Sans" w:eastAsia="DejaVu Sans"/>
          <w:color w:val="1E2528"/>
          <w:sz w:val="16"/>
        </w:rPr>
        <w:t xml:space="preserve">Europäisches Parlament und Rat, Verordnung (EU) 2024/1689 (KI-Verordnung). 2024-06-13. Geltendes Unionsrecht; schrittweise Anwendbarkeit. CELEX 32024R1689; ELI reg/2024/1689/oj. </w:t>
      </w:r>
      <w:hyperlink r:id="rId90">
        <w:r>
          <w:rPr>
            <w:rFonts w:ascii="DejaVu Sans" w:hAnsi="DejaVu Sans" w:eastAsia="DejaVu Sans"/>
            <w:color w:val="234C61"/>
            <w:u w:val="single"/>
            <w:sz w:val="16"/>
          </w:rPr>
          <w:t>https://eur-lex.europa.eu/eli/reg/2024/1689/oj/eng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[SRC-S34-003] </w:t>
      </w:r>
      <w:r>
        <w:rPr>
          <w:rFonts w:ascii="DejaVu Sans" w:hAnsi="DejaVu Sans" w:eastAsia="DejaVu Sans"/>
          <w:color w:val="1E2528"/>
          <w:sz w:val="16"/>
        </w:rPr>
        <w:t xml:space="preserve">Europäische Kommission - AI Act Service Desk, AI Act - Article 50: Transparency obligations for providers and deployers of certain AI systems. Offizielles Informationsangebot zu Art. 50 der Verordnung (EU) 2024/1689. Abgerufen: 2026-07-17. </w:t>
      </w:r>
      <w:hyperlink r:id="rId91">
        <w:r>
          <w:rPr>
            <w:rFonts w:ascii="DejaVu Sans" w:hAnsi="DejaVu Sans" w:eastAsia="DejaVu Sans"/>
            <w:color w:val="234C61"/>
            <w:u w:val="single"/>
            <w:sz w:val="16"/>
          </w:rPr>
          <w:t>https://ai-act-service-desk.ec.europa.eu/en/ai-act/article-50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[SRC-S34-004] </w:t>
      </w:r>
      <w:r>
        <w:rPr>
          <w:rFonts w:ascii="DejaVu Sans" w:hAnsi="DejaVu Sans" w:eastAsia="DejaVu Sans"/>
          <w:color w:val="1E2528"/>
          <w:sz w:val="16"/>
        </w:rPr>
        <w:t xml:space="preserve">Europäische Kommission - AI Act Service Desk, AI Act - Article 53: Obligations for providers of general-purpose AI models. Offizielles Informationsangebot zu Art. 53 der Verordnung (EU) 2024/1689. Abgerufen: 2026-07-17. </w:t>
      </w:r>
      <w:hyperlink r:id="rId92">
        <w:r>
          <w:rPr>
            <w:rFonts w:ascii="DejaVu Sans" w:hAnsi="DejaVu Sans" w:eastAsia="DejaVu Sans"/>
            <w:color w:val="234C61"/>
            <w:u w:val="single"/>
            <w:sz w:val="16"/>
          </w:rPr>
          <w:t>https://ai-act-service-desk.ec.europa.eu/en/ai-act/article-53</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[SRC-S34-005] </w:t>
      </w:r>
      <w:r>
        <w:rPr>
          <w:rFonts w:ascii="DejaVu Sans" w:hAnsi="DejaVu Sans" w:eastAsia="DejaVu Sans"/>
          <w:color w:val="1E2528"/>
          <w:sz w:val="16"/>
        </w:rPr>
        <w:t xml:space="preserve">Europäisches Parlament und Rat, Verordnung (EU) 2016/679 (DSGVO). 2016-04-27. Geltendes Unionsrecht. CELEX 32016R0679; ELI reg/2016/679/oj. </w:t>
      </w:r>
      <w:hyperlink r:id="rId93">
        <w:r>
          <w:rPr>
            <w:rFonts w:ascii="DejaVu Sans" w:hAnsi="DejaVu Sans" w:eastAsia="DejaVu Sans"/>
            <w:color w:val="234C61"/>
            <w:u w:val="single"/>
            <w:sz w:val="16"/>
          </w:rPr>
          <w:t>https://eur-lex.europa.eu/eli/reg/2016/679/oj/eng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[SRC-S34-006] </w:t>
      </w:r>
      <w:r>
        <w:rPr>
          <w:rFonts w:ascii="DejaVu Sans" w:hAnsi="DejaVu Sans" w:eastAsia="DejaVu Sans"/>
          <w:color w:val="1E2528"/>
          <w:sz w:val="16"/>
        </w:rPr>
        <w:t xml:space="preserve">Article 29 Data Protection Working Party, Guidelines on Automated individual decision-making and Profiling for the purposes of Regulation 2016/679, WP251 rev.01. Vom European Data Protection Board am 2018-05-25 gebilligt. Offizielle Auslegungshilfe; keine Rechtsvorschrift. </w:t>
      </w:r>
      <w:hyperlink r:id="rId94">
        <w:r>
          <w:rPr>
            <w:rFonts w:ascii="DejaVu Sans" w:hAnsi="DejaVu Sans" w:eastAsia="DejaVu Sans"/>
            <w:color w:val="234C61"/>
            <w:u w:val="single"/>
            <w:sz w:val="16"/>
          </w:rPr>
          <w:t>https://www.edpb.europa.eu/documents/guideline/automated-decision-making-and-profiling_en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[SRC-S34-007] </w:t>
      </w:r>
      <w:r>
        <w:rPr>
          <w:rFonts w:ascii="DejaVu Sans" w:hAnsi="DejaVu Sans" w:eastAsia="DejaVu Sans"/>
          <w:color w:val="1E2528"/>
          <w:sz w:val="16"/>
        </w:rPr>
        <w:t xml:space="preserve">Gerichtshof der Europäischen Union, SCHUFA Holding (Scoring), C-634/21. 2023-12-07. Verbindliche Rechtsprechung zur Auslegung des Unionsrechts. ECLI:EU:C:2023:957. </w:t>
      </w:r>
      <w:hyperlink r:id="rId95">
        <w:r>
          <w:rPr>
            <w:rFonts w:ascii="DejaVu Sans" w:hAnsi="DejaVu Sans" w:eastAsia="DejaVu Sans"/>
            <w:color w:val="234C61"/>
            <w:u w:val="single"/>
            <w:sz w:val="16"/>
          </w:rPr>
          <w:t>https://infocuria.curia.europa.eu/tabs/redirect/juris/document/document.jsf?docid=280426&amp;doclang=en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[SRC-S34-008] </w:t>
      </w:r>
      <w:r>
        <w:rPr>
          <w:rFonts w:ascii="DejaVu Sans" w:hAnsi="DejaVu Sans" w:eastAsia="DejaVu Sans"/>
          <w:color w:val="1E2528"/>
          <w:sz w:val="16"/>
        </w:rPr>
        <w:t xml:space="preserve">Europäisches Parlament und Rat, Verordnung (EU) 2024/1183 zur Schaffung des europäischen Rahmens für eine digitale Identität. 2024-04-11. Geltendes Unionsrecht. CELEX 32024R1183; ELI reg/2024/1183/oj. </w:t>
      </w:r>
      <w:hyperlink r:id="rId96">
        <w:r>
          <w:rPr>
            <w:rFonts w:ascii="DejaVu Sans" w:hAnsi="DejaVu Sans" w:eastAsia="DejaVu Sans"/>
            <w:color w:val="234C61"/>
            <w:u w:val="single"/>
            <w:sz w:val="16"/>
          </w:rPr>
          <w:t>https://eur-lex.europa.eu/eli/reg/2024/1183/oj/eng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[SRC-S34-009] </w:t>
      </w:r>
      <w:r>
        <w:rPr>
          <w:rFonts w:ascii="DejaVu Sans" w:hAnsi="DejaVu Sans" w:eastAsia="DejaVu Sans"/>
          <w:color w:val="1E2528"/>
          <w:sz w:val="16"/>
        </w:rPr>
        <w:t xml:space="preserve">Europäische Kommission, European Digital Identity Wallet implementation. Seite aktualisiert: 2026-06-22. Der Rahmen sieht Wallets der Mitgliedstaaten bis Ende 2026 vor; das offizielle Repository des Architecture and Reference Framework weist v2.9.0 vom 2026-05-21 als aktuelle Release-Version aus. Institutionelle Seite und technische Spezifikation. Abgerufen: 2026-07-17. </w:t>
      </w:r>
      <w:hyperlink r:id="rId97">
        <w:r>
          <w:rPr>
            <w:rFonts w:ascii="DejaVu Sans" w:hAnsi="DejaVu Sans" w:eastAsia="DejaVu Sans"/>
            <w:color w:val="234C61"/>
            <w:u w:val="single"/>
            <w:sz w:val="16"/>
          </w:rPr>
          <w:t>https://digital-strategy.ec.europa.eu/en/policies/eudi-wallet-implementation</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98">
        <w:r>
          <w:rPr>
            <w:rFonts w:ascii="DejaVu Sans" w:hAnsi="DejaVu Sans" w:eastAsia="DejaVu Sans"/>
            <w:color w:val="234C61"/>
            <w:u w:val="single"/>
            <w:sz w:val="16"/>
          </w:rPr>
          <w:t>https://github.com/eu-digital-identity-wallet/eudi-doc-architecture-and-reference-framework/releases/tag/v2.9.0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[SRC-S34-010] </w:t>
      </w:r>
      <w:r>
        <w:rPr>
          <w:rFonts w:ascii="DejaVu Sans" w:hAnsi="DejaVu Sans" w:eastAsia="DejaVu Sans"/>
          <w:color w:val="1E2528"/>
          <w:sz w:val="16"/>
        </w:rPr>
        <w:t xml:space="preserve">Europäisches Parlament und Rat, Verordnung (EU) 2022/2065 über digitale Dienste (DSA). 2022-10-19. Geltendes Unionsrecht. CELEX 32022R2065; ELI reg/2022/2065/oj. </w:t>
      </w:r>
      <w:hyperlink r:id="rId99">
        <w:r>
          <w:rPr>
            <w:rFonts w:ascii="DejaVu Sans" w:hAnsi="DejaVu Sans" w:eastAsia="DejaVu Sans"/>
            <w:color w:val="234C61"/>
            <w:u w:val="single"/>
            <w:sz w:val="16"/>
          </w:rPr>
          <w:t>https://eur-lex.europa.eu/eli/reg/2022/2065/oj/eng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[SRC-S34-011] </w:t>
      </w:r>
      <w:r>
        <w:rPr>
          <w:rFonts w:ascii="DejaVu Sans" w:hAnsi="DejaVu Sans" w:eastAsia="DejaVu Sans"/>
          <w:color w:val="1E2528"/>
          <w:sz w:val="16"/>
        </w:rPr>
        <w:t xml:space="preserve">Europäische Kommission - AI Act Service Desk, AI Act - Article 5: Prohibited AI practices. Offizielles Informationsangebot zu Art. 5 der Verordnung (EU) 2024/1689. Abgerufen: 2026-07-14. </w:t>
      </w:r>
      <w:hyperlink r:id="rId100">
        <w:r>
          <w:rPr>
            <w:rFonts w:ascii="DejaVu Sans" w:hAnsi="DejaVu Sans" w:eastAsia="DejaVu Sans"/>
            <w:color w:val="234C61"/>
            <w:u w:val="single"/>
            <w:sz w:val="16"/>
          </w:rPr>
          <w:t>https://ai-act-service-desk.ec.europa.eu/en/ai-act/article-5</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[SRC-S34-012] </w:t>
      </w:r>
      <w:r>
        <w:rPr>
          <w:rFonts w:ascii="DejaVu Sans" w:hAnsi="DejaVu Sans" w:eastAsia="DejaVu Sans"/>
          <w:color w:val="1E2528"/>
          <w:sz w:val="16"/>
        </w:rPr>
        <w:t xml:space="preserve">Europäisches Parlament und Rat, Richtlinie (EU) 2024/2831 zur Verbesserung der Arbeitsbedingungen in der Plattformarbeit. 2024-10-23. In nationales Recht umzusetzendes Unionsrecht; sektorspezifischer Anwendungsbereich. CELEX 32024L2831; ELI dir/2024/2831/oj. </w:t>
      </w:r>
      <w:hyperlink r:id="rId101">
        <w:r>
          <w:rPr>
            <w:rFonts w:ascii="DejaVu Sans" w:hAnsi="DejaVu Sans" w:eastAsia="DejaVu Sans"/>
            <w:color w:val="234C61"/>
            <w:u w:val="single"/>
            <w:sz w:val="16"/>
          </w:rPr>
          <w:t>https://eur-lex.europa.eu/eli/dir/2024/2831/oj/eng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[SRC-S34-013] </w:t>
      </w:r>
      <w:r>
        <w:rPr>
          <w:rFonts w:ascii="DejaVu Sans" w:hAnsi="DejaVu Sans" w:eastAsia="DejaVu Sans"/>
          <w:color w:val="1E2528"/>
          <w:sz w:val="16"/>
        </w:rPr>
        <w:t xml:space="preserve">Europäisches Parlament und Rat, Richtlinie (EU) 2019/790 über das Urheberrecht im digitalen Binnenmarkt. 2019-04-17. Mit nationalen Unterschieden umgesetztes Unionsrecht. CELEX 32019L0790; ELI dir/2019/790/oj. </w:t>
      </w:r>
      <w:hyperlink r:id="rId102">
        <w:r>
          <w:rPr>
            <w:rFonts w:ascii="DejaVu Sans" w:hAnsi="DejaVu Sans" w:eastAsia="DejaVu Sans"/>
            <w:color w:val="234C61"/>
            <w:u w:val="single"/>
            <w:sz w:val="16"/>
          </w:rPr>
          <w:t>https://eur-lex.europa.eu/eli/dir/2019/790/oj/eng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[SRC-S34-020] </w:t>
      </w:r>
      <w:r>
        <w:rPr>
          <w:rFonts w:ascii="DejaVu Sans" w:hAnsi="DejaVu Sans" w:eastAsia="DejaVu Sans"/>
          <w:color w:val="1E2528"/>
          <w:sz w:val="16"/>
        </w:rPr>
        <w:t xml:space="preserve">Europäische Kommission, Code of Practice on Transparency of AI-Generated Content. Endfassung veröffentlicht am 2026-06-10; Stellungnahme der Kommission vom 8. Juli 2026 und Bewertung des AI Board vom 9. Juli 2026 zur Angemessenheit. Freiwilliges Instrument zur Umsetzung von Art. 50 der KI-Verordnung; die Teilnahme allein stellt keinen abschließenden Nachweis der Konformität dar. </w:t>
      </w:r>
      <w:hyperlink r:id="rId103">
        <w:r>
          <w:rPr>
            <w:rFonts w:ascii="DejaVu Sans" w:hAnsi="DejaVu Sans" w:eastAsia="DejaVu Sans"/>
            <w:color w:val="234C61"/>
            <w:u w:val="single"/>
            <w:sz w:val="16"/>
          </w:rPr>
          <w:t>https://digital-strategy.ec.europa.eu/en/news/commission-publishes-code-practice-marking-and-labelling-ai-generated-content</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104">
        <w:r>
          <w:rPr>
            <w:rFonts w:ascii="DejaVu Sans" w:hAnsi="DejaVu Sans" w:eastAsia="DejaVu Sans"/>
            <w:color w:val="234C61"/>
            <w:u w:val="single"/>
            <w:sz w:val="16"/>
          </w:rPr>
          <w:t>https://digital-strategy.ec.europa.eu/en/library/commission-opinion-assessment-code-practice-transparency-ai-generated-content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[SRC-S34-021] </w:t>
      </w:r>
      <w:r>
        <w:rPr>
          <w:rFonts w:ascii="DejaVu Sans" w:hAnsi="DejaVu Sans" w:eastAsia="DejaVu Sans"/>
          <w:color w:val="1E2528"/>
          <w:sz w:val="16"/>
        </w:rPr>
        <w:t xml:space="preserve">Europäische Kommission, General-Purpose AI Code of Practice. Endfassung veröffentlicht am 2025-07-10. Freiwilliges Instrument zur Unterstützung der Einhaltung der Vorschriften; die Pflichten für KI-Modelle mit allgemeinem Verwendungszweck gelten seit 2025-08-02, und die Durchsetzung durch das AI Office beginnt für neue Modelle am 2026-08-02 und für bereits auf dem Markt befindliche Modelle am 2027-08-02. Abgerufen: 2026-07-17. </w:t>
      </w:r>
      <w:hyperlink r:id="rId105">
        <w:r>
          <w:rPr>
            <w:rFonts w:ascii="DejaVu Sans" w:hAnsi="DejaVu Sans" w:eastAsia="DejaVu Sans"/>
            <w:color w:val="234C61"/>
            <w:u w:val="single"/>
            <w:sz w:val="16"/>
          </w:rPr>
          <w:t>https://digital-strategy.ec.europa.eu/en/news/general-purpose-ai-code-practice-now-available</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[SRC-S34-015] </w:t>
      </w:r>
      <w:r>
        <w:rPr>
          <w:rFonts w:ascii="DejaVu Sans" w:hAnsi="DejaVu Sans" w:eastAsia="DejaVu Sans"/>
          <w:color w:val="1E2528"/>
          <w:sz w:val="16"/>
        </w:rPr>
        <w:t xml:space="preserve">Europäisches Parlament und Rat, Verordnung (EU) 2017/745 über Medizinprodukte. 2017-04-05. Geltendes Unionsrecht. CELEX 32017R0745; ELI reg/2017/745/oj. </w:t>
      </w:r>
      <w:hyperlink r:id="rId106">
        <w:r>
          <w:rPr>
            <w:rFonts w:ascii="DejaVu Sans" w:hAnsi="DejaVu Sans" w:eastAsia="DejaVu Sans"/>
            <w:color w:val="234C61"/>
            <w:u w:val="single"/>
            <w:sz w:val="16"/>
          </w:rPr>
          <w:t>https://eur-lex.europa.eu/eli/reg/2017/745/oj/eng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[SRC-S34-016] </w:t>
      </w:r>
      <w:r>
        <w:rPr>
          <w:rFonts w:ascii="DejaVu Sans" w:hAnsi="DejaVu Sans" w:eastAsia="DejaVu Sans"/>
          <w:color w:val="1E2528"/>
          <w:sz w:val="16"/>
        </w:rPr>
        <w:t xml:space="preserve">Europäisches Parlament und Rat, Verordnung (EU) 2017/746 über In-vitro-Diagnostika. 2017-04-05. Geltendes Unionsrecht. CELEX 32017R0746; ELI reg/2017/746/oj. </w:t>
      </w:r>
      <w:hyperlink r:id="rId107">
        <w:r>
          <w:rPr>
            <w:rFonts w:ascii="DejaVu Sans" w:hAnsi="DejaVu Sans" w:eastAsia="DejaVu Sans"/>
            <w:color w:val="234C61"/>
            <w:u w:val="single"/>
            <w:sz w:val="16"/>
          </w:rPr>
          <w:t>https://eur-lex.europa.eu/eli/reg/2017/746/oj/eng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[SRC-S34-017] </w:t>
      </w:r>
      <w:r>
        <w:rPr>
          <w:rFonts w:ascii="DejaVu Sans" w:hAnsi="DejaVu Sans" w:eastAsia="DejaVu Sans"/>
          <w:color w:val="1E2528"/>
          <w:sz w:val="16"/>
        </w:rPr>
        <w:t xml:space="preserve">European Data Protection Board, Guidelines 05/2022 on the use of facial recognition technology in the area of law enforcement. Endfassung 2.0, 2023-05-17. Offizielle Auslegungshilfe; kein Gesetz. </w:t>
      </w:r>
      <w:hyperlink r:id="rId108">
        <w:r>
          <w:rPr>
            <w:rFonts w:ascii="DejaVu Sans" w:hAnsi="DejaVu Sans" w:eastAsia="DejaVu Sans"/>
            <w:color w:val="234C61"/>
            <w:u w:val="single"/>
            <w:sz w:val="16"/>
          </w:rPr>
          <w:t>https://www.edpb.europa.eu/system/files/2023-05/edpb_guidelines_202304_frtlawenforcement_v2_en.pdf</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[SRC-S34-018] </w:t>
      </w:r>
      <w:r>
        <w:rPr>
          <w:rFonts w:ascii="DejaVu Sans" w:hAnsi="DejaVu Sans" w:eastAsia="DejaVu Sans"/>
          <w:color w:val="1E2528"/>
          <w:sz w:val="16"/>
        </w:rPr>
        <w:t xml:space="preserve">Garante per la protezione dei dati personali, Eredità digitale e art. 2-terdecies del Codice privacy. Institutioneller Leitfaden; Rechtsgrundlage: d.lgs. 196/2003, Art. 2-terdecies. Abgerufen: 2026-07-14. </w:t>
      </w:r>
      <w:hyperlink r:id="rId109">
        <w:r>
          <w:rPr>
            <w:rFonts w:ascii="DejaVu Sans" w:hAnsi="DejaVu Sans" w:eastAsia="DejaVu Sans"/>
            <w:color w:val="234C61"/>
            <w:u w:val="single"/>
            <w:sz w:val="16"/>
          </w:rPr>
          <w:t>https://www.garanteprivacy.it/temi/internet-e-nuove-tecnologie/eredita-digitale</w:t>
        </w:r>
      </w:hyperlink>
      <w:r>
        <w:rPr>
          <w:rFonts w:ascii="DejaVu Sans" w:hAnsi="DejaVu Sans" w:eastAsia="DejaVu Sans"/>
          <w:color w:val="1E2528"/>
          <w:sz w:val="16"/>
        </w:rPr>
        <w:t>.</w:t>
      </w:r>
    </w:p>
    <w:p>
      <w:pPr>
        <w:pStyle w:val="Heading1"/>
      </w:pPr>
      <w:r>
        <w:t>Version und Aktualisierungen</w:t>
      </w:r>
    </w:p>
    <w:p>
      <w:pPr>
        <w:keepLines w:val="0"/>
      </w:pPr>
      <w:r>
        <w:rPr>
          <w:rFonts w:ascii="DejaVu Sans" w:hAnsi="DejaVu Sans" w:eastAsia="DejaVu Sans"/>
          <w:color w:val="1E2528"/>
          <w:sz w:val="18"/>
        </w:rPr>
        <w:t>Diese Datei bewahrt den mit der deutschen Ausgabe verbundenen Stand. Aktualisierungen der Website müssen als spätere Versionen gekennzeichnet werden und dürfen den dokumentarischen Stand des Buches nicht überschreiben.</w:t>
      </w:r>
    </w:p>
    <w:sectPr w:rsidR="00FC693F" w:rsidRPr="0006063C" w:rsidSect="00034616">
      <w:headerReference w:type="default" r:id="rId9"/>
      <w:footerReference w:type="default" r:id="rId10"/>
      <w:footerReference w:type="first" r:id="rId11"/>
      <w:headerReference w:type="first" r:id="rId110"/>
      <w:headerReference w:type="even" r:id="rId111"/>
      <w:footerReference w:type="even" r:id="rId112"/>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Durchsuchbare Bibliografie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Durchsuchbare Bibliografie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digital-strategy.ec.europa.eu/en/news/commission-publishes-code-practice-marking-and-labelling-ai-generated-content" TargetMode="External"/><Relationship Id="rId104" Type="http://schemas.openxmlformats.org/officeDocument/2006/relationships/hyperlink" Target="https://digital-strategy.ec.europa.eu/en/library/commission-opinion-assessment-code-practice-transparency-ai-generated-content" TargetMode="External"/><Relationship Id="rId105" Type="http://schemas.openxmlformats.org/officeDocument/2006/relationships/hyperlink" Target="https://digital-strategy.ec.europa.eu/en/news/general-purpose-ai-code-practice-now-available" TargetMode="External"/><Relationship Id="rId106" Type="http://schemas.openxmlformats.org/officeDocument/2006/relationships/hyperlink" Target="https://eur-lex.europa.eu/eli/reg/2017/745/oj/eng" TargetMode="External"/><Relationship Id="rId107" Type="http://schemas.openxmlformats.org/officeDocument/2006/relationships/hyperlink" Target="https://eur-lex.europa.eu/eli/reg/2017/746/oj/eng" TargetMode="External"/><Relationship Id="rId108" Type="http://schemas.openxmlformats.org/officeDocument/2006/relationships/hyperlink" Target="https://www.edpb.europa.eu/system/files/2023-05/edpb_guidelines_202304_frtlawenforcement_v2_en.pdf" TargetMode="External"/><Relationship Id="rId109" Type="http://schemas.openxmlformats.org/officeDocument/2006/relationships/hyperlink" Target="https://www.garanteprivacy.it/temi/internet-e-nuove-tecnologie/eredita-digitale" TargetMode="External"/><Relationship Id="rId110" Type="http://schemas.openxmlformats.org/officeDocument/2006/relationships/header" Target="header2.xml"/><Relationship Id="rId111" Type="http://schemas.openxmlformats.org/officeDocument/2006/relationships/header" Target="header3.xml"/><Relationship Id="rId1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Durchsuchbare Bibliografie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