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OFFIZIELLE RESSOURCEN</w:t>
      </w:r>
    </w:p>
    <w:p>
      <w:pPr>
        <w:pStyle w:val="Title"/>
        <w:jc w:val="center"/>
        <w:spacing w:line="640" w:lineRule="exact"/>
      </w:pPr>
      <w:r>
        <w:rPr>
          <w:rFonts w:ascii="EB Garamond" w:hAnsi="EB Garamond" w:eastAsia="EB Garamond" w:cs="EB Garamond"/>
          <w:b/>
          <w:color w:val="183445"/>
          <w:sz w:val="56"/>
          <w:szCs w:val="56"/>
        </w:rPr>
        <w:t xml:space="preserve">Wesentliche Zeitleiste</w:t>
      </w:r>
    </w:p>
    <w:p>
      <w:pPr>
        <w:pStyle w:val="Subtitle"/>
        <w:jc w:val="center"/>
        <w:spacing w:line="320" w:lineRule="exact"/>
      </w:pPr>
      <w:r>
        <w:rPr>
          <w:rFonts w:ascii="EB Garamond" w:hAnsi="EB Garamond" w:eastAsia="EB Garamond" w:cs="EB Garamond"/>
          <w:color w:val="5A686F"/>
          <w:sz w:val="26"/>
          <w:szCs w:val="26"/>
        </w:rPr>
        <w:t xml:space="preserve">Von der Entstehung der KI bis zu den erzählerischen Schwellen des Jahres 2050</w:t>
      </w:r>
    </w:p>
    <w:p>
      <w:pPr>
        <w:spacing w:before="440" w:line="270" w:lineRule="exact"/>
        <w:jc w:val="center"/>
      </w:pPr>
      <w:r>
        <w:rPr>
          <w:rFonts w:ascii="EB Garamond" w:hAnsi="EB Garamond" w:eastAsia="EB Garamond" w:cs="EB Garamond"/>
          <w:b/>
          <w:color w:val="B04A35"/>
          <w:sz w:val="21"/>
          <w:szCs w:val="21"/>
        </w:rPr>
        <w:t xml:space="preserve">TATSACHEN, EINORDNUNGEN, REGULIERUNG UND SZENARIEN</w:t>
      </w:r>
    </w:p>
    <w:p>
      <w:pPr>
        <w:jc w:val="center"/>
        <w:spacing w:line="270" w:lineRule="exact"/>
      </w:pPr>
      <w:r>
        <w:rPr>
          <w:rFonts w:ascii="EB Garamond" w:hAnsi="EB Garamond" w:eastAsia="EB Garamond" w:cs="EB Garamond"/>
          <w:color w:val="183445"/>
          <w:sz w:val="21"/>
          <w:szCs w:val="21"/>
        </w:rPr>
        <w:t xml:space="preserve">Abgestimmt auf den überarbeiteten englischen Buchinhalt · Dokumentarischer Stand Juli 2026 · Ressourcenversion DE-R2.3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https://www.corneritaliano.com/de/2050/ressourcen/</w:t>
        </w:r>
      </w:hyperlink>
    </w:p>
    <w:p>
      <w:r>
        <w:br w:type="page"/>
        <w:rPr>
          <w:rFonts w:ascii="EB Garamond" w:hAnsi="EB Garamond" w:eastAsia="EB Garamond" w:cs="EB Garamond"/>
          <w:sz w:val="21"/>
          <w:szCs w:val="21"/>
        </w:rPr>
      </w:r>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METHODE  Diese Zeitleiste wählt Meilensteine aus, die bei der Orientierung im Buch helfen. Jeder Eintrag kennzeichnet seinen Status als historische Tatsache oder Einordnung, regulatorische Tatsache, erzählerisches Szenario oder Vorschlag des Autors. Technische Veröffentlichungen werden innerhalb der historischen Tatsachen ausgewiesen. Rechtliche Termine nach dem 30. Juli 2026 sind als vorgesehen gekennzeichnet.</w:t>
            </w:r>
          </w:p>
        </w:tc>
      </w:tr>
    </w:tbl>
    <w:p>
      <w:pPr>
        <w:spacing w:after="0"/>
      </w:pP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2165"/>
        <w:gridCol w:w="7675"/>
      </w:tblGrid>
      <w:tr>
        <w:trPr>
          <w:tblHeader w:val="true"/>
          <w:cantSplit/>
        </w:trPr>
        <w:tc>
          <w:tcPr>
            <w:tcW w:type="dxa" w:w="2165"/>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Datum oder Zeitraum</w:t>
            </w:r>
          </w:p>
        </w:tc>
        <w:tc>
          <w:tcPr>
            <w:tcW w:type="dxa" w:w="7675"/>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Meilenstein und Einordnung</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1950</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Historische Tatsache. Alan Turing veröffentlicht „Computing Machinery and Intelligence“ und ersetzt die abstrakte Frage „Können Maschinen denken?“ durch das Imitationsspiel, wodurch sich die Aufmerksamkeit auf beobachtbares Verhalten verschiebt.</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1955-1956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John McCarthy, Marvin Minsky, Nathaniel Rochester und Claude Shannon erarbeiten den Vorschlag für den Sommerworkshop in Dartmouth; der Ausdruck künstliche Intelligenz wird zum Leitbegriff eines neuen Forschungsfelds.</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Ende der 1950er-Jahre</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Historische Einordnung. Frank Rosenblatts Perzeptron stärkt die Vorstellung, dass eine Maschine aus Beispielen lernen kann, während Hardware, Daten und Methoden begrenzt bleiben.</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1966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Joseph Weizenbaum stellt ELIZA vor, ein einfaches Programm, das mit Regeln und Schlüsselwörtern einen überraschenden Eindruck des Zuhörens erzeugen kann.</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1969</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Historische Tatsache und Einordnung. Marvin Minsky und Seymour Papert analysieren die Grenzen einfacher Perzeptrons. Spätere KI-Winter spiegeln auch die Kluft zwischen Versprechen, Finanzierung, Rechenleistung und Ergebnissen wider.</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1969</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Infrastrukturgeschichte. ARPANET übermittelt seine erste Nachricht zwischen zwei Knoten, verwirklicht damit ein paketvermitteltes Netz und eröffnet den Weg zu umfassenderen Kommunikationsarchitekturen.</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1. Januar 1983</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Infrastrukturgeschichte. ARPANET schließt den Übergang zu TCP/IP ab: Unterschiedliche Netze können über eine gemeinsame Protokollfamilie kommunizieren, ein entscheidender Schritt zum Internet als Netz der Netze.</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1986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David Rumelhart, Geoffrey Hinton und Ronald Williams zeigen in einer einflussreichen Arbeit, wie Backpropagation zum Training mehrschichtiger Netze eingesetzt werden kann.</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1989-1991</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Infrastrukturgeschichte. Tim Berners-Lee schlägt 1989 am CERN das World Wide Web vor und entwickelt den ersten Browser und Server. 1991 beginnt das Projekt, das Labor zu verlassen, und öffnet das Netz für die Navigation über Hypertext.</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1997</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Deep Blue besiegt Garry Kasparov in einem Wettkampf über sechs Partien und macht die Stärke der Rechenleistung in einem Bereich mit abgeschlossenen Regeln für eine breite Öffentlichkeit sichtbar.</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1990er-Jahre bis frühe 2000er-Jahre</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Historische Einordnung. Internet, Web und mobile Dienste verwandeln das Netz von einer Fachumgebung in alltägliche Infrastruktur; Archive, Identitäten, Kommunikation und Dienste hängen zunehmend von miteinander verbundenen Systemen ab.</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2012</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AlexNet erzielt mithilfe von Grafikprozessoren im ImageNet-Wettbewerb ein deutlich besseres Ergebnis und macht die Beschleunigung von Deep Learning in der Bilderkennung sichtbar.</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2017</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Historische Tatsache. „Attention Is All You Need“ stellt die Transformer-Architektur vor, die für große Sprachmodelle und viele generative Systeme zentral werden wird.</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30. November 2022</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ChatGPT wird der Öffentlichkeit als Forschungsvorschau vorgestellt und macht dialogfähige KI im Alltag zugänglich.</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2010er- und 2020er-Jahre</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Historische Einordnung. Cloud-Dienste, Rechenzentren, APIs, Plattformen und vernetzte Gegenstände verbinden sich zu einer zunehmend unsichtbaren Infrastruktur, von der Arbeit, Gesundheitsversorgung, Verwaltung, Mobilität und Information abhängen.</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 August 2024</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Regulatorische Tatsache. Die Verordnung (EU) 2024/1689, bekannt als KI-Verordnung oder AI Act, tritt in Kraft. Ihre Bestimmungen werden schrittweise anwendbar; das Datum bedeutet nicht, dass sämtliche Pflichten zugleich wirksam werden.</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Februar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Regulatorische Tatsache. Die Bestimmungen der KI-Verordnung zu verbotenen Praktiken und die ursprüngliche Pflicht zur KI-Kompetenz werden anwendbar. Die Änderung vom Juli 2026 fasst Artikel 4 später als Pflicht zur Unterstützung der Entwicklung von KI-Kompetenz neu. [SRC-S34-001] [SRC-EU-AI-OMNIBUS26]</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15. Mai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technische Standards. Das W3C veröffentlicht Verifiable Credentials Data Model v2.0, Verifiable Credential Data Integrity 1.0 und Securing Verifiable Credentials Using JOSE and COSE als Recommendations. [SRC-W3C-VC20] [SRC-W3C-DI] [SRC-W3C-JOSE]</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9. Juli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technische Spezifikation. OpenID for Verifiable Presentations 1.0 wird zur endgültigen Spezifikation für Abläufe zur Vorlage digitaler Nachweise. [SRC-OID4VP]</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10. Juli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Regulatorische Tatsache, freiwillige Leitlinie. Die Endfassung des General-Purpose AI Code of Practice wird veröffentlicht, um die Einhaltung der KI-Verordnung zu unterstützen. Der Kodex ist ein freiwilliges Instrument. [SRC-S34-021]</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Juli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technischer Standard. NIST veröffentlicht die endgültigen Digital Identity Guidelines, Special Publication 800-63-4. [SRC-NIST-ID4]</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August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Regulatorische Tatsache. Die Pflichten aus Artikel 53 der KI-Verordnung für Anbieter von KI-Modellen mit allgemeinem Verwendungszweck werden unter Berücksichtigung von Geltungsbereich und Übergangsbestimmungen anwendbar. Für Modelle, die vor diesem Datum in Verkehr gebracht wurden, gilt eine spätere Erfüllungsfrist. [SRC-S34-001] [SRC-S34-021]</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16. September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technische Spezifikation. OpenID for Verifiable Credential Issuance 1.0 wird zur endgültigen Spezifikation für Abläufe zur Ausstellung digitaler Nachweise. [SRC-OID4VCI]</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10. Juni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Regulatorische Tatsache, freiwillige Leitlinie. Die Endfassung des Code of Practice on Transparency of AI-Generated Content wird veröffentlicht. Sie enthält Leitlinien zur Markierung und Kennzeichnung; die Teilnahme allein belegt jedoch keine Einhaltung von Artikel 50. [SRC-S34-020]</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8. Juli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Regulatorische Tatsache. Die Verordnung (EU) 2026/1744, der Digital Omnibus on AI, wird verabschiedet. Verabschiedung ist von Veröffentlichung und Inkrafttreten zu unterscheiden. [SRC-EU-AI-OMNIBUS26]</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23. Juli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Historische Tatsache, technischer Rahmen. Version 3.0.0 des European Digital Identity Wallet Architecture and Reference Framework wird veröffentlicht. Der technische Rahmen unterstützt die Umsetzung und ist von den rechtlichen Pflichten zu unterscheiden. [SRC-S34-009]</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24. Juli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Regulatorische Tatsache. Die Verordnung (EU) 2026/1744 wird im Amtsblatt der Europäischen Union veröffentlicht. [SRC-EU-AI-OMNIBUS26]</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27. Juli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Regulatorische Tatsache. Die Verordnung (EU) 2026/1744 tritt in Kraft. Für die Pflichten der KI-Verordnung gelten weiterhin die jeweiligen Anwendungsdaten und Übergangsbestimmungen. [SRC-EU-AI-OMNIBUS26] [SRC-S34-001]</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August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Vorgesehener regulatorischer Termin. Die Transparenzpflichten nach Artikel 50 Absätze 1, 2, 4 und 5 sollen vorbehaltlich von Ausnahmen und Übergangsregelungen anwendbar werden. Auch die Durchsetzungsbefugnisse der Kommission für KI-Modelle mit allgemeinem Verwendungszweck sollen ab diesem Datum gelten. [SRC-S34-001] [SRC-S34-020] [SRC-S34-021]</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Dezember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Vorgesehener regulatorischer Termin. Bis dahin müssen die Mitgliedstaaten die Richtlinie über Plattformarbeit umsetzen. Zugleich ist dies das vorgesehene Ende der Übergangsfrist nach Artikel 50 Absatz 2 für Anbieter erfasster Systeme für synthetische Inhalte, die vor dem 2. August 2026 in Verkehr gebracht wurden. [SRC-S34-012] [SRC-EU-AI-OMNIBUS26] [SRC-S34-001]</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31. Dezember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Vorgesehener regulatorischer Termin. Bestimmte Status- und Antragsfristen für Authorized IC Designer sollen nach der am 9. April 2026 veröffentlichten und seit dem 7. April 2026 wirksamen BIS-Regelung auf dieses Datum fallen. Die Anwendbarkeit hängt von der Transaktion und dem Geltungsbereich der Regelung ab. [SRC-BIS-IC-DESIGNER26]</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August 2027</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Vorgesehener regulatorischer Termin. Anbieter von KI-Modellen mit allgemeinem Verwendungszweck, die vor dem 2. August 2025 in Verkehr gebracht wurden, müssen bis dahin die einschlägigen Pflichten der KI-Verordnung erfüllen. [SRC-S34-001] [SRC-S34-021]</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Um 2050</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Erzählerisches Szenario. Die thematisch angeordneten Vignetten umfassen mehrere Jahre. Die Abstände von vierzehn und achtzehn Monaten gehören zu Ashas Handlungsstrang; die Prüfungen nach sechs Monaten betreffen Marta und Lidia sowie Davide. Künftige Daten, Kosten, Zeiträume, Mengen, Kapazitäten und geopolitische Konstellationen sind Szenarioparameter, keine Prognosen oder beobachteten Werte. Die Szenarien umfassen Projekte, die begrenzt, gestoppt oder nicht eingeführt werden.</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Vorschläge des Buches</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Vorschlag des Autors. Der 2050-Test, die Minimierung des Nachweises, der operative Zwilling, die lebende Lizenz und die postmortale digitale Verfügung sind Werkzeuge, die erprobt, korrigiert oder verworfen werden sollen: Sie sind weder vollendete Tatsachen noch einheitliches Recht oder Vorhersagen.</w:t>
            </w:r>
          </w:p>
        </w:tc>
      </w:tr>
    </w:tbl>
    <w:p>
      <w:pPr>
        <w:spacing w:after="0"/>
      </w:pPr>
    </w:p>
    <w:p>
      <w:pPr>
        <w:pStyle w:val="Heading1"/>
        <w:spacing w:line="460" w:lineRule="exact"/>
      </w:pPr>
      <w:r>
        <w:rPr>
          <w:rFonts w:ascii="EB Garamond" w:hAnsi="EB Garamond" w:eastAsia="EB Garamond" w:cs="EB Garamond"/>
          <w:sz w:val="40"/>
          <w:szCs w:val="40"/>
          <w:color w:val="183445"/>
        </w:rPr>
        <w:t xml:space="preserve">Wie die Zeitleiste zitiert wird</w:t>
      </w:r>
    </w:p>
    <w:p>
      <w:pPr>
        <w:keepLines w:val="0"/>
        <w:spacing w:line="270" w:lineRule="exact"/>
      </w:pPr>
      <w:r>
        <w:rPr>
          <w:rFonts w:ascii="EB Garamond" w:hAnsi="EB Garamond" w:eastAsia="EB Garamond" w:cs="EB Garamond"/>
          <w:color w:val="1F2D33"/>
          <w:sz w:val="21"/>
          <w:szCs w:val="21"/>
        </w:rPr>
        <w:t xml:space="preserve">Historische und regulatorische Einträge verweisen auf die durchsuchbare Bibliografie im Ressourcenzentrum. Nutzen Sie die SRC-Codes, um die Quellen für die hinzugefügten Meilensteine zu finden. Szenen um 2050 bleiben erzählerische Parameter, keine Vorhersagen. Prüfen Sie die Vorschläge des Buches anhand von Nachweisen und Kontext und entscheiden Sie dann, ob sie korrigiert oder verworfen werden sollen.</w:t>
      </w:r>
    </w:p>
    <w:sectPr>
      <w:headerReference w:type="default" r:id="rId9"/>
      <w:footerReference w:type="default" r:id="rId10"/>
      <w:footerReference w:type="first" r:id="rId11"/>
      <w:headerReference w:type="first" r:id="rId14"/>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DE-R2.3 - Dokumentarischer Stand Juli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https://www.corneritaliano.com/de/2050/ressourcen/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OFFIZIELLE RESSOURCEN  |  Wesentliche Zeitleiste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de-DE" w:eastAsia="de-DE"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de/2050/ressourcen/"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Wesentliche Zeitleiste | DE-R2.3 | Deutsch | English source V51.2</dc:title>
  <dc:subject>Wesentliche Zeitleiste | DE-R2.3 | Deutsch | English source V51.2</dc:subject>
  <dc:creator>Marco De Prosperis</dc:creator>
  <cp:keywords>2050, EN-US-R2.3, July 2026 documentary snapshot, revised English interior</cp:keywords>
  <dc:description>Wesentliche Zeitleiste | DE-R2.3 | Deutsch | English source V51.2</dc:description>
  <cp:lastModifiedBy>Corner Italiano LLC</cp:lastModifiedBy>
  <cp:revision>2</cp:revision>
  <dcterms:created xsi:type="dcterms:W3CDTF">2013-12-23T23:15:00Z</dcterms:created>
  <dcterms:modified xsi:type="dcterms:W3CDTF">2026-09-10T15:55:33Z</dcterms:modified>
  <cp:category/>
  <dc:language>de-DE</dc:language>
</cp:coreProperties>
</file>