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OFFIZIELLE RESSOURCEN</w:t>
      </w:r>
    </w:p>
    <w:p>
      <w:pPr>
        <w:pStyle w:val="Title"/>
        <w:jc w:val="center"/>
        <w:spacing w:line="640" w:lineRule="exact"/>
      </w:pPr>
      <w:r>
        <w:rPr>
          <w:rFonts w:ascii="EB Garamond" w:hAnsi="EB Garamond" w:eastAsia="EB Garamond" w:cs="EB Garamond"/>
          <w:b/>
          <w:color w:val="183445"/>
          <w:sz w:val="56"/>
          <w:szCs w:val="56"/>
        </w:rPr>
        <w:t xml:space="preserve">Themenkarte</w:t>
      </w:r>
    </w:p>
    <w:p>
      <w:pPr>
        <w:pStyle w:val="Subtitle"/>
        <w:jc w:val="center"/>
        <w:spacing w:line="320" w:lineRule="exact"/>
      </w:pPr>
      <w:r>
        <w:rPr>
          <w:rFonts w:ascii="EB Garamond" w:hAnsi="EB Garamond" w:eastAsia="EB Garamond" w:cs="EB Garamond"/>
          <w:color w:val="5A686F"/>
          <w:sz w:val="26"/>
          <w:szCs w:val="26"/>
        </w:rPr>
        <w:t xml:space="preserve">Wo die zentralen Fragen des Buches zu finden sind</w:t>
      </w:r>
    </w:p>
    <w:p>
      <w:pPr>
        <w:spacing w:before="440" w:line="270" w:lineRule="exact"/>
        <w:jc w:val="center"/>
      </w:pPr>
      <w:r>
        <w:rPr>
          <w:rFonts w:ascii="EB Garamond" w:hAnsi="EB Garamond" w:eastAsia="EB Garamond" w:cs="EB Garamond"/>
          <w:b/>
          <w:color w:val="B04A35"/>
          <w:sz w:val="21"/>
          <w:szCs w:val="21"/>
        </w:rPr>
        <w:t xml:space="preserve">EIN THEMATISCHES LESEVERZEICHNIS</w:t>
      </w:r>
    </w:p>
    <w:p>
      <w:pPr>
        <w:jc w:val="center"/>
        <w:spacing w:line="270" w:lineRule="exact"/>
      </w:pPr>
      <w:r>
        <w:rPr>
          <w:rFonts w:ascii="EB Garamond" w:hAnsi="EB Garamond" w:eastAsia="EB Garamond" w:cs="EB Garamond"/>
          <w:color w:val="183445"/>
          <w:sz w:val="21"/>
          <w:szCs w:val="21"/>
        </w:rPr>
        <w:t xml:space="preserve">Abgestimmt auf den überarbeiteten englischen Buchinhalt · Dokumentarischer Stand Juli 2026 · Ressourcenversion DE-R2.3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https://www.corneritaliano.com/de/2050/ressourcen/</w:t>
        </w:r>
      </w:hyperlink>
    </w:p>
    <w:p>
      <w:r>
        <w:br w:type="page"/>
        <w:rPr>
          <w:rFonts w:ascii="EB Garamond" w:hAnsi="EB Garamond" w:eastAsia="EB Garamond" w:cs="EB Garamond"/>
          <w:sz w:val="21"/>
          <w:szCs w:val="21"/>
        </w:rPr>
      </w:r>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ORIENTIERUNG  Das Buch entwickelt diese Fragen in unterschiedlichen Maßstäben. Nutzen Sie Kapitelnummern und Abschnittstitel, um jedes Thema auch bei geänderter Seitennummerierung zu finden. Die Titel beziehen sich auf den überarbeiteten englischen Buchinhalt (2026); die englischen Originaltitel stehen in Klammern.</w:t>
            </w:r>
          </w:p>
        </w:tc>
      </w:tr>
    </w:tbl>
    <w:p>
      <w:pPr>
        <w:spacing w:after="0"/>
      </w:pPr>
    </w:p>
    <w:p>
      <w:pPr>
        <w:keepNext/>
        <w:spacing w:before="200" w:after="80" w:line="300" w:lineRule="exact"/>
      </w:pPr>
      <w:r>
        <w:rPr>
          <w:rFonts w:ascii="EB Garamond" w:hAnsi="EB Garamond" w:eastAsia="EB Garamond" w:cs="EB Garamond"/>
          <w:b/>
          <w:color w:val="183445"/>
          <w:sz w:val="23"/>
          <w:szCs w:val="23"/>
        </w:rPr>
        <w:t xml:space="preserve">Erwachsene Hoffnung und Grenzen der Delegation</w:t>
      </w:r>
    </w:p>
    <w:p>
      <w:pPr>
        <w:spacing w:after="40" w:line="270" w:lineRule="exact"/>
        <w:keepNext/>
      </w:pPr>
      <w:r>
        <w:rPr>
          <w:rFonts w:ascii="EB Garamond" w:hAnsi="EB Garamond" w:eastAsia="EB Garamond" w:cs="EB Garamond"/>
          <w:i/>
          <w:color w:val="5A686F"/>
          <w:sz w:val="21"/>
          <w:szCs w:val="21"/>
        </w:rPr>
        <w:t xml:space="preserve">Vorkommen im Buch: Einleitung, „Die Entfernung bis 2050“ (The Distance to 2050); Kapitel 16, „Vor der Nutzung: Prüfbogen und Mandat“ (Before Use: Worksheet and Mandate); Epilog, „Was wir nicht delegieren“ (What We Do Not Delegate).</w:t>
      </w:r>
    </w:p>
    <w:p>
      <w:pPr>
        <w:spacing w:after="100" w:line="270" w:lineRule="exact"/>
      </w:pPr>
      <w:r>
        <w:rPr>
          <w:rFonts w:ascii="EB Garamond" w:hAnsi="EB Garamond" w:eastAsia="EB Garamond" w:cs="EB Garamond"/>
          <w:color w:val="1F2D33"/>
          <w:sz w:val="21"/>
          <w:szCs w:val="21"/>
        </w:rPr>
        <w:t xml:space="preserve">Technologie verstehen und nutzen, wenn sie das Leben verbessert. Räume bewahren, in denen menschliche Entscheidungen ihrer Nutzung Grenzen setzen können, einschließlich Ablehnung, und ihre Auswirkungen korrigieren.</w:t>
      </w:r>
    </w:p>
    <w:p>
      <w:pPr>
        <w:keepNext/>
        <w:spacing w:before="200" w:after="80" w:line="300" w:lineRule="exact"/>
      </w:pPr>
      <w:r>
        <w:rPr>
          <w:rFonts w:ascii="EB Garamond" w:hAnsi="EB Garamond" w:eastAsia="EB Garamond" w:cs="EB Garamond"/>
          <w:b/>
          <w:color w:val="183445"/>
          <w:sz w:val="23"/>
          <w:szCs w:val="23"/>
        </w:rPr>
        <w:t xml:space="preserve">Fähigkeit, Zuverlässigkeit und Befugnis</w:t>
      </w:r>
    </w:p>
    <w:p>
      <w:pPr>
        <w:spacing w:after="40" w:line="270" w:lineRule="exact"/>
        <w:keepNext/>
      </w:pPr>
      <w:r>
        <w:rPr>
          <w:rFonts w:ascii="EB Garamond" w:hAnsi="EB Garamond" w:eastAsia="EB Garamond" w:cs="EB Garamond"/>
          <w:i/>
          <w:color w:val="5A686F"/>
          <w:sz w:val="21"/>
          <w:szCs w:val="21"/>
        </w:rPr>
        <w:t xml:space="preserve">Vorkommen im Buch: Einleitung, „Die Entfernung bis 2050“ (The Distance to 2050); Zwischenspiel I, „Die drei Antwortzustände“ (The Three Answer States); Kapitel 1, „Wie Maschinen aus Beispielen lernen“ (How Machines Learn from Examples); Kapitel 4, „Wo Verantwortung liegt“ (Where Responsibility Falls); Kapitel 7, „Was der Zwilling nicht tun kann“ (What the Twin Cannot Do), „Vier Modi der Delegation“ (Four Modes of Delegation); Kapitel 8, „Fürsorge ohne Entmenschlichung“ (Caring Without Dehumanizing), „Erweiterte Diagnostik und die Gefahr, Präzision mit Wahrheit zu verwechseln“ (Augmented Diagnosis and the Risk of Mistaking Precision for Truth); Kapitel 12, „Rechte im Zeitalter der Vorhersage“ (Rights in the Age of Prediction); Kapitel 16, „Vor der Nutzung: Prüfbogen und Mandat“ (Before Use: Worksheet and Mandate); Anhang, Werkzeuge für die Lektüre (Tools for the Reader), „Die drei Vokabulare im Überblick“ (Map of the Three Vocabularies).</w:t>
      </w:r>
    </w:p>
    <w:p>
      <w:pPr>
        <w:spacing w:after="100" w:line="270" w:lineRule="exact"/>
      </w:pPr>
      <w:r>
        <w:rPr>
          <w:rFonts w:ascii="EB Garamond" w:hAnsi="EB Garamond" w:eastAsia="EB Garamond" w:cs="EB Garamond"/>
          <w:color w:val="1F2D33"/>
          <w:sz w:val="21"/>
          <w:szCs w:val="21"/>
        </w:rPr>
        <w:t xml:space="preserve">Etwas tun zu können, unter realen Bedingungen erfolgreich zu sein und zum Handeln befugt zu sein, sind unterschiedliche Eigenschaften.</w:t>
      </w:r>
    </w:p>
    <w:p>
      <w:pPr>
        <w:keepNext/>
        <w:spacing w:before="200" w:after="80" w:line="300" w:lineRule="exact"/>
      </w:pPr>
      <w:r>
        <w:rPr>
          <w:rFonts w:ascii="EB Garamond" w:hAnsi="EB Garamond" w:eastAsia="EB Garamond" w:cs="EB Garamond"/>
          <w:b/>
          <w:color w:val="183445"/>
          <w:sz w:val="23"/>
          <w:szCs w:val="23"/>
        </w:rPr>
        <w:t xml:space="preserve">Der 2050-Test und die drei Vokabulare</w:t>
      </w:r>
    </w:p>
    <w:p>
      <w:pPr>
        <w:spacing w:after="40" w:line="270" w:lineRule="exact"/>
        <w:keepNext/>
      </w:pPr>
      <w:r>
        <w:rPr>
          <w:rFonts w:ascii="EB Garamond" w:hAnsi="EB Garamond" w:eastAsia="EB Garamond" w:cs="EB Garamond"/>
          <w:i/>
          <w:color w:val="5A686F"/>
          <w:sz w:val="21"/>
          <w:szCs w:val="21"/>
        </w:rPr>
        <w:t xml:space="preserve">Vorkommen im Buch: Zwischenspiel I, „Sieben Fragen vor der Delegation“ (Seven Questions Before Delegating), „Die drei Antwortzustände“ (The Three Answer States); Kapitel 7, „Vier Modi der Delegation“ (Four Modes of Delegation); Zwischenspiel II, „Die Kosten der Kontrolle“ (The Cost of Control); Kapitel 16, „Vor der Nutzung: Prüfbogen und Mandat“ (Before Use: Worksheet and Mandate); Anhang, Werkzeuge für die Lektüre (Tools for the Reader), „Die sieben Fragen des 2050-Tests“ (The Seven Questions of the 2050 Test), „Wann eine Antwort ausreichend ist und wann sie blockiert“ (When an Answer Is Sufficient, and When It Blocks), „Die Entscheidungsregel“ (The Decision Rule), „Mindestangaben“ (The Minimum Worksheet).</w:t>
      </w:r>
    </w:p>
    <w:p>
      <w:pPr>
        <w:spacing w:after="100" w:line="270" w:lineRule="exact"/>
      </w:pPr>
      <w:r>
        <w:rPr>
          <w:rFonts w:ascii="EB Garamond" w:hAnsi="EB Garamond" w:eastAsia="EB Garamond" w:cs="EB Garamond"/>
          <w:color w:val="1F2D33"/>
          <w:sz w:val="21"/>
          <w:szCs w:val="21"/>
        </w:rPr>
        <w:t xml:space="preserve">Die sieben Fragen, der Antwortstatus und die organisatorische Entscheidung bleiben getrennt und erzeugen keinen kompensatorischen Durchschnitt.</w:t>
      </w:r>
    </w:p>
    <w:p>
      <w:pPr>
        <w:keepNext/>
        <w:spacing w:before="200" w:after="80" w:line="300" w:lineRule="exact"/>
      </w:pPr>
      <w:r>
        <w:rPr>
          <w:rFonts w:ascii="EB Garamond" w:hAnsi="EB Garamond" w:eastAsia="EB Garamond" w:cs="EB Garamond"/>
          <w:b/>
          <w:color w:val="183445"/>
          <w:sz w:val="23"/>
          <w:szCs w:val="23"/>
        </w:rPr>
        <w:t xml:space="preserve">Identität, Minimierung des Nachweises und Portabilität</w:t>
      </w:r>
    </w:p>
    <w:p>
      <w:pPr>
        <w:spacing w:after="40" w:line="270" w:lineRule="exact"/>
        <w:keepNext/>
      </w:pPr>
      <w:r>
        <w:rPr>
          <w:rFonts w:ascii="EB Garamond" w:hAnsi="EB Garamond" w:eastAsia="EB Garamond" w:cs="EB Garamond"/>
          <w:i/>
          <w:color w:val="5A686F"/>
          <w:sz w:val="21"/>
          <w:szCs w:val="21"/>
        </w:rPr>
        <w:t xml:space="preserve">Vorkommen im Buch: Kapitel 2, „Genug nachweisen, nicht alles“ (Proving Enough, Not Everything), „Der verifizierbare digitale Nachweis“ (The Verifiable Credential), „Nachweise übertragen und wiederherstellen“ (Moving and Recovering Evidence); Kapitel 3, „Der Tag, an dem die Welt lautlos stehen bleibt“ (The Day the World Stops Without a Sound); Kapitel 16, „Kontinuität, wenn ein System schließt“ (Continuity When a System Closes); Anhang, Werkzeuge für die Lektüre (Tools for the Reader), „Die sieben Fragen des 2050-Tests“ (The Seven Questions of the 2050 Test).</w:t>
      </w:r>
    </w:p>
    <w:p>
      <w:pPr>
        <w:spacing w:after="100" w:line="270" w:lineRule="exact"/>
      </w:pPr>
      <w:r>
        <w:rPr>
          <w:rFonts w:ascii="EB Garamond" w:hAnsi="EB Garamond" w:eastAsia="EB Garamond" w:cs="EB Garamond"/>
          <w:color w:val="1F2D33"/>
          <w:sz w:val="21"/>
          <w:szCs w:val="21"/>
        </w:rPr>
        <w:t xml:space="preserve">Nur das Erforderliche nachweisen, ohne die Person auszuliefern oder ihr das gesamte Risiko von Wiederherstellung und Ausstieg aufzubürden.</w:t>
      </w:r>
    </w:p>
    <w:p>
      <w:pPr>
        <w:keepNext/>
        <w:spacing w:before="200" w:after="80" w:line="300" w:lineRule="exact"/>
      </w:pPr>
      <w:r>
        <w:rPr>
          <w:rFonts w:ascii="EB Garamond" w:hAnsi="EB Garamond" w:eastAsia="EB Garamond" w:cs="EB Garamond"/>
          <w:b/>
          <w:color w:val="183445"/>
          <w:sz w:val="23"/>
          <w:szCs w:val="23"/>
        </w:rPr>
        <w:t xml:space="preserve">Infrastruktur, Kontinuität und Ausstiegstest</w:t>
      </w:r>
    </w:p>
    <w:p>
      <w:pPr>
        <w:spacing w:after="40" w:line="270" w:lineRule="exact"/>
        <w:keepNext/>
      </w:pPr>
      <w:r>
        <w:rPr>
          <w:rFonts w:ascii="EB Garamond" w:hAnsi="EB Garamond" w:eastAsia="EB Garamond" w:cs="EB Garamond"/>
          <w:i/>
          <w:color w:val="5A686F"/>
          <w:sz w:val="21"/>
          <w:szCs w:val="21"/>
        </w:rPr>
        <w:t xml:space="preserve">Vorkommen im Buch: Kapitel 3, „Der Tag, an dem die Welt lautlos stehen bleibt“ (The Day the World Stops Without a Sound); Kapitel 14, „Die Infrastruktur hinter dem Vertrag“ (The Infrastructure Behind the Contract); Kapitel 16, „Kontinuität, wenn ein System schließt“ (Continuity When a System Closes); Anhang, Werkzeuge für die Lektüre (Tools for the Reader), „Die sieben Fragen des 2050-Tests“ (The Seven Questions of the 2050 Test).</w:t>
      </w:r>
    </w:p>
    <w:p>
      <w:pPr>
        <w:spacing w:after="100" w:line="270" w:lineRule="exact"/>
      </w:pPr>
      <w:r>
        <w:rPr>
          <w:rFonts w:ascii="EB Garamond" w:hAnsi="EB Garamond" w:eastAsia="EB Garamond" w:cs="EB Garamond"/>
          <w:color w:val="1F2D33"/>
          <w:sz w:val="21"/>
          <w:szCs w:val="21"/>
        </w:rPr>
        <w:t xml:space="preserve">Cloud-Dienste, Netze, APIs, Verträge und verbleibende Kompetenz werden steuerbar, wenn eingeschränkte Kontinuität und Ersatz praktisch erprobt werden.</w:t>
      </w:r>
    </w:p>
    <w:p>
      <w:pPr>
        <w:keepNext/>
        <w:spacing w:before="200" w:after="80" w:line="300" w:lineRule="exact"/>
      </w:pPr>
      <w:r>
        <w:rPr>
          <w:rFonts w:ascii="EB Garamond" w:hAnsi="EB Garamond" w:eastAsia="EB Garamond" w:cs="EB Garamond"/>
          <w:b/>
          <w:color w:val="183445"/>
          <w:sz w:val="23"/>
          <w:szCs w:val="23"/>
        </w:rPr>
        <w:t xml:space="preserve">Arbeit, Kompetenz und Bildung</w:t>
      </w:r>
    </w:p>
    <w:p>
      <w:pPr>
        <w:spacing w:after="40" w:line="270" w:lineRule="exact"/>
        <w:keepNext/>
      </w:pPr>
      <w:r>
        <w:rPr>
          <w:rFonts w:ascii="EB Garamond" w:hAnsi="EB Garamond" w:eastAsia="EB Garamond" w:cs="EB Garamond"/>
          <w:i/>
          <w:color w:val="5A686F"/>
          <w:sz w:val="21"/>
          <w:szCs w:val="21"/>
        </w:rPr>
        <w:t xml:space="preserve">Vorkommen im Buch: Kapitel 4, „Der große Wandel: Von Aufgaben zu Verantwortlichkeiten“ (The Great Shift: From Tasks to Responsibilities); Kapitel 6, „Von der Wissensvermittlung zur Entwicklung von Urteilskraft“ (From Transferring Knowledge to Cultivating Judgment); Kapitel 7, „Was der Zwilling nicht tun kann“ (What the Twin Cannot Do); Kapitel 10, „Hier war ein Mensch“ (A Person Was Here); Kapitel 16, „Vor der Nutzung: Prüfbogen und Mandat“ (Before Use: Worksheet and Mandate).</w:t>
      </w:r>
    </w:p>
    <w:p>
      <w:pPr>
        <w:spacing w:after="100" w:line="270" w:lineRule="exact"/>
      </w:pPr>
      <w:r>
        <w:rPr>
          <w:rFonts w:ascii="EB Garamond" w:hAnsi="EB Garamond" w:eastAsia="EB Garamond" w:cs="EB Garamond"/>
          <w:color w:val="1F2D33"/>
          <w:sz w:val="21"/>
          <w:szCs w:val="21"/>
        </w:rPr>
        <w:t xml:space="preserve">Automatisierung verdichtet Aufgaben. Einarbeitung hält Urteilskraft praktikabel, wenn Beschäftigte Zeit haben, sie auszuüben, und über Befugnis hinsichtlich des Ergebnisses verfügen.</w:t>
      </w:r>
    </w:p>
    <w:p>
      <w:pPr>
        <w:keepNext/>
        <w:spacing w:before="200" w:after="80" w:line="300" w:lineRule="exact"/>
      </w:pPr>
      <w:r>
        <w:rPr>
          <w:rFonts w:ascii="EB Garamond" w:hAnsi="EB Garamond" w:eastAsia="EB Garamond" w:cs="EB Garamond"/>
          <w:b/>
          <w:color w:val="183445"/>
          <w:sz w:val="23"/>
          <w:szCs w:val="23"/>
        </w:rPr>
        <w:t xml:space="preserve">Mandat, Rechtsschutz und wirksame Aufsicht</w:t>
      </w:r>
    </w:p>
    <w:p>
      <w:pPr>
        <w:spacing w:after="40" w:line="270" w:lineRule="exact"/>
        <w:keepNext/>
      </w:pPr>
      <w:r>
        <w:rPr>
          <w:rFonts w:ascii="EB Garamond" w:hAnsi="EB Garamond" w:eastAsia="EB Garamond" w:cs="EB Garamond"/>
          <w:i/>
          <w:color w:val="5A686F"/>
          <w:sz w:val="21"/>
          <w:szCs w:val="21"/>
        </w:rPr>
        <w:t xml:space="preserve">Vorkommen im Buch: Kapitel 4, „Wo Verantwortung liegt“ (Where Responsibility Falls); Kapitel 5, „Das Mandat des öffentlichen Blicks“ (The Mandate of the Public Gaze); Kapitel 7, „Wo das Mandat enden muss“ (Where the Mandate Must Stop); Kapitel 8, „Erweiterte Diagnostik und die Gefahr, Präzision mit Wahrheit zu verwechseln“ (Augmented Diagnosis and the Risk of Mistaking Precision for Truth); Kapitel 12, „Rechte im Zeitalter der Vorhersage“ (Rights in the Age of Prediction); Kapitel 16, „Wenn etwas vom Kurs abkommt: Störfall und Rechtsschutz“ (When Something Goes Off Course: Incident and Redress); Zwischenspiel I, „Sieben Fragen vor der Delegation“ (Seven Questions Before Delegating); Zwischenspiel II, „Die Kosten der Kontrolle“ (The Cost of Control).</w:t>
      </w:r>
    </w:p>
    <w:p>
      <w:pPr>
        <w:spacing w:after="100" w:line="270" w:lineRule="exact"/>
      </w:pPr>
      <w:r>
        <w:rPr>
          <w:rFonts w:ascii="EB Garamond" w:hAnsi="EB Garamond" w:eastAsia="EB Garamond" w:cs="EB Garamond"/>
          <w:color w:val="1F2D33"/>
          <w:sz w:val="21"/>
          <w:szCs w:val="21"/>
        </w:rPr>
        <w:t xml:space="preserve">Ein Mensch zählt im Verfahren, wenn er über Nachweise, Zeit und die Befugnis verfügt, auszusetzen, zu korrigieren und eine begründete Entscheidung zu erwirken.</w:t>
      </w:r>
    </w:p>
    <w:p>
      <w:pPr>
        <w:keepNext/>
        <w:spacing w:before="200" w:after="80" w:line="300" w:lineRule="exact"/>
      </w:pPr>
      <w:r>
        <w:rPr>
          <w:rFonts w:ascii="EB Garamond" w:hAnsi="EB Garamond" w:eastAsia="EB Garamond" w:cs="EB Garamond"/>
          <w:b/>
          <w:color w:val="183445"/>
          <w:sz w:val="23"/>
          <w:szCs w:val="23"/>
        </w:rPr>
        <w:t xml:space="preserve">Fürsorge, Unsicherheit und Würde</w:t>
      </w:r>
    </w:p>
    <w:p>
      <w:pPr>
        <w:spacing w:after="40" w:line="270" w:lineRule="exact"/>
        <w:keepNext/>
      </w:pPr>
      <w:r>
        <w:rPr>
          <w:rFonts w:ascii="EB Garamond" w:hAnsi="EB Garamond" w:eastAsia="EB Garamond" w:cs="EB Garamond"/>
          <w:i/>
          <w:color w:val="5A686F"/>
          <w:sz w:val="21"/>
          <w:szCs w:val="21"/>
        </w:rPr>
        <w:t xml:space="preserve">Vorkommen im Buch: Kapitel 8, „Fürsorge ohne Entmenschlichung“ (Caring Without Dehumanizing), „Fürsorge am Lebensende“ (Care at the End of Life); Kapitel 11, „Der Freund, der niemals schläft“ (The Friend Who Never Sleeps); Kapitel 15, „Die Toten, die niemals gehen“ (The Dead Who Never Leave).</w:t>
      </w:r>
    </w:p>
    <w:p>
      <w:pPr>
        <w:spacing w:after="100" w:line="270" w:lineRule="exact"/>
      </w:pPr>
      <w:r>
        <w:rPr>
          <w:rFonts w:ascii="EB Garamond" w:hAnsi="EB Garamond" w:eastAsia="EB Garamond" w:cs="EB Garamond"/>
          <w:color w:val="1F2D33"/>
          <w:sz w:val="21"/>
          <w:szCs w:val="21"/>
        </w:rPr>
        <w:t xml:space="preserve">Technischer Fehler, klinische Unsicherheit, Wertekonflikt, Anwesenheit und Abschied verlangen unterschiedliche Antworten.</w:t>
      </w:r>
    </w:p>
    <w:p>
      <w:pPr>
        <w:keepNext/>
        <w:spacing w:before="200" w:after="80" w:line="300" w:lineRule="exact"/>
      </w:pPr>
      <w:r>
        <w:rPr>
          <w:rFonts w:ascii="EB Garamond" w:hAnsi="EB Garamond" w:eastAsia="EB Garamond" w:cs="EB Garamond"/>
          <w:b/>
          <w:color w:val="183445"/>
          <w:sz w:val="23"/>
          <w:szCs w:val="23"/>
        </w:rPr>
        <w:t xml:space="preserve">Öffentliche Wahrheit, Herkunft und epistemische Erschöpfung</w:t>
      </w:r>
    </w:p>
    <w:p>
      <w:pPr>
        <w:spacing w:after="40" w:line="270" w:lineRule="exact"/>
        <w:keepNext/>
      </w:pPr>
      <w:r>
        <w:rPr>
          <w:rFonts w:ascii="EB Garamond" w:hAnsi="EB Garamond" w:eastAsia="EB Garamond" w:cs="EB Garamond"/>
          <w:i/>
          <w:color w:val="5A686F"/>
          <w:sz w:val="21"/>
          <w:szCs w:val="21"/>
        </w:rPr>
        <w:t xml:space="preserve">Vorkommen im Buch: Kapitel 9, „Öffentliches Vertrauen wiederaufbauen“ (Rebuilding Public Trust); Kapitel 10, „Kreative Quellen und ihre Nutzung“ (Creative Sources and Their Use); Anhang, Werkzeuge für die Lektüre (Tools for the Reader), „Wesentliches Glossar“ (Essential Glossary).</w:t>
      </w:r>
    </w:p>
    <w:p>
      <w:pPr>
        <w:spacing w:after="100" w:line="270" w:lineRule="exact"/>
      </w:pPr>
      <w:r>
        <w:rPr>
          <w:rFonts w:ascii="EB Garamond" w:hAnsi="EB Garamond" w:eastAsia="EB Garamond" w:cs="EB Garamond"/>
          <w:color w:val="1F2D33"/>
          <w:sz w:val="21"/>
          <w:szCs w:val="21"/>
        </w:rPr>
        <w:t xml:space="preserve">Ursprung und Bearbeitungsschritte zu rekonstruieren hilft bei der Überprüfung; öffentliches Vertrauen hängt aber auch von den menschlichen und institutionellen Kosten ab, eine Behauptung anzufechten.</w:t>
      </w:r>
    </w:p>
    <w:p>
      <w:pPr>
        <w:keepNext/>
        <w:spacing w:before="200" w:after="80" w:line="300" w:lineRule="exact"/>
      </w:pPr>
      <w:r>
        <w:rPr>
          <w:rFonts w:ascii="EB Garamond" w:hAnsi="EB Garamond" w:eastAsia="EB Garamond" w:cs="EB Garamond"/>
          <w:b/>
          <w:color w:val="183445"/>
          <w:sz w:val="23"/>
          <w:szCs w:val="23"/>
        </w:rPr>
        <w:t xml:space="preserve">Urheberschaft, Signatur und neue Knappheit</w:t>
      </w:r>
    </w:p>
    <w:p>
      <w:pPr>
        <w:spacing w:after="40" w:line="270" w:lineRule="exact"/>
        <w:keepNext/>
      </w:pPr>
      <w:r>
        <w:rPr>
          <w:rFonts w:ascii="EB Garamond" w:hAnsi="EB Garamond" w:eastAsia="EB Garamond" w:cs="EB Garamond"/>
          <w:i/>
          <w:color w:val="5A686F"/>
          <w:sz w:val="21"/>
          <w:szCs w:val="21"/>
        </w:rPr>
        <w:t xml:space="preserve">Vorkommen im Buch: Kapitel 10, „Von der Generierung zum Werk“ (From Generation to a Work), „Hier war ein Mensch“ (A Person Was Here); Kapitel 9, „Öffentliches Vertrauen wiederaufbauen“ (Rebuilding Public Trust).</w:t>
      </w:r>
    </w:p>
    <w:p>
      <w:pPr>
        <w:spacing w:after="100" w:line="270" w:lineRule="exact"/>
      </w:pPr>
      <w:r>
        <w:rPr>
          <w:rFonts w:ascii="EB Garamond" w:hAnsi="EB Garamond" w:eastAsia="EB Garamond" w:cs="EB Garamond"/>
          <w:color w:val="1F2D33"/>
          <w:sz w:val="21"/>
          <w:szCs w:val="21"/>
        </w:rPr>
        <w:t xml:space="preserve">Herkunft, Offenlegung der verwendeten Werkzeuge und Signatur verteilen Entstehungsgeschichte, Transparenz und Verantwortung, ohne einem Werk automatisch Wert zuzuschreiben.</w:t>
      </w:r>
    </w:p>
    <w:p>
      <w:pPr>
        <w:keepNext/>
        <w:spacing w:before="200" w:after="80" w:line="300" w:lineRule="exact"/>
      </w:pPr>
      <w:r>
        <w:rPr>
          <w:rFonts w:ascii="EB Garamond" w:hAnsi="EB Garamond" w:eastAsia="EB Garamond" w:cs="EB Garamond"/>
          <w:b/>
          <w:color w:val="183445"/>
          <w:sz w:val="23"/>
          <w:szCs w:val="23"/>
        </w:rPr>
        <w:t xml:space="preserve">Bindung, Minderjährige und relationale Asymmetrie</w:t>
      </w:r>
    </w:p>
    <w:p>
      <w:pPr>
        <w:spacing w:after="40" w:line="270" w:lineRule="exact"/>
        <w:keepNext/>
      </w:pPr>
      <w:r>
        <w:rPr>
          <w:rFonts w:ascii="EB Garamond" w:hAnsi="EB Garamond" w:eastAsia="EB Garamond" w:cs="EB Garamond"/>
          <w:i/>
          <w:color w:val="5A686F"/>
          <w:sz w:val="21"/>
          <w:szCs w:val="21"/>
        </w:rPr>
        <w:t xml:space="preserve">Vorkommen im Buch: Kapitel 11, „Der Freund, der niemals schläft“ (The Friend Who Never Sleeps), „Die Asymmetrie“ (The Asymmetry), „Das Geschäftsmodell der Zuneigung“ (The Business Model of Affection); Kapitel 15, „Die Toten, die niemals gehen“ (The Dead Who Never Leave); Kapitel 16, „Gegen die Einführung entscheiden“ (Deciding Against Adoption).</w:t>
      </w:r>
    </w:p>
    <w:p>
      <w:pPr>
        <w:spacing w:after="100" w:line="270" w:lineRule="exact"/>
      </w:pPr>
      <w:r>
        <w:rPr>
          <w:rFonts w:ascii="EB Garamond" w:hAnsi="EB Garamond" w:eastAsia="EB Garamond" w:cs="EB Garamond"/>
          <w:color w:val="1F2D33"/>
          <w:sz w:val="21"/>
          <w:szCs w:val="21"/>
        </w:rPr>
        <w:t xml:space="preserve">Trost kann je nach Gedächtnis, Anreizen, Freiheit zum Beenden und Offenheit für andere Beziehungen eine Brücke oder ein Käfig werden.</w:t>
      </w:r>
    </w:p>
    <w:p>
      <w:pPr>
        <w:keepNext/>
        <w:spacing w:before="200" w:after="80" w:line="300" w:lineRule="exact"/>
      </w:pPr>
      <w:r>
        <w:rPr>
          <w:rFonts w:ascii="EB Garamond" w:hAnsi="EB Garamond" w:eastAsia="EB Garamond" w:cs="EB Garamond"/>
          <w:b/>
          <w:color w:val="183445"/>
          <w:sz w:val="23"/>
          <w:szCs w:val="23"/>
        </w:rPr>
        <w:t xml:space="preserve">Privatsphäre, Profiling und nicht erfasste Intervalle</w:t>
      </w:r>
    </w:p>
    <w:p>
      <w:pPr>
        <w:spacing w:after="40" w:line="270" w:lineRule="exact"/>
        <w:keepNext/>
      </w:pPr>
      <w:r>
        <w:rPr>
          <w:rFonts w:ascii="EB Garamond" w:hAnsi="EB Garamond" w:eastAsia="EB Garamond" w:cs="EB Garamond"/>
          <w:i/>
          <w:color w:val="5A686F"/>
          <w:sz w:val="21"/>
          <w:szCs w:val="21"/>
        </w:rPr>
        <w:t xml:space="preserve">Vorkommen im Buch: Kapitel 5, „Das Mandat des öffentlichen Blicks“ (The Mandate of the Public Gaze); Kapitel 12, „Wenn Verzerrung ins System gelangt“ (When Bias Enters the System), „Rechte im Zeitalter der Vorhersage“ (Rights in the Age of Prediction); Kapitel 11, „Das Geschäftsmodell der Zuneigung“ (The Business Model of Affection).</w:t>
      </w:r>
    </w:p>
    <w:p>
      <w:pPr>
        <w:spacing w:after="100" w:line="270" w:lineRule="exact"/>
      </w:pPr>
      <w:r>
        <w:rPr>
          <w:rFonts w:ascii="EB Garamond" w:hAnsi="EB Garamond" w:eastAsia="EB Garamond" w:cs="EB Garamond"/>
          <w:color w:val="1F2D33"/>
          <w:sz w:val="21"/>
          <w:szCs w:val="21"/>
        </w:rPr>
        <w:t xml:space="preserve">Schutz erlaubt nicht automatisch Steuerung, und ein Mensch muss sich verändern können, ohne sofort ein operatives Profil zu erzeugen.</w:t>
      </w:r>
    </w:p>
    <w:p>
      <w:pPr>
        <w:keepNext/>
        <w:spacing w:before="200" w:after="80" w:line="300" w:lineRule="exact"/>
      </w:pPr>
      <w:r>
        <w:rPr>
          <w:rFonts w:ascii="EB Garamond" w:hAnsi="EB Garamond" w:eastAsia="EB Garamond" w:cs="EB Garamond"/>
          <w:b/>
          <w:color w:val="183445"/>
          <w:sz w:val="23"/>
          <w:szCs w:val="23"/>
        </w:rPr>
        <w:t xml:space="preserve">Kosten der Kontrolle, Restschaden und organisatorische Kapazität</w:t>
      </w:r>
    </w:p>
    <w:p>
      <w:pPr>
        <w:spacing w:after="40" w:line="270" w:lineRule="exact"/>
        <w:keepNext/>
      </w:pPr>
      <w:r>
        <w:rPr>
          <w:rFonts w:ascii="EB Garamond" w:hAnsi="EB Garamond" w:eastAsia="EB Garamond" w:cs="EB Garamond"/>
          <w:i/>
          <w:color w:val="5A686F"/>
          <w:sz w:val="21"/>
          <w:szCs w:val="21"/>
        </w:rPr>
        <w:t xml:space="preserve">Vorkommen im Buch: Kapitel 7, „Das Prüfprotokoll“ (The Testing Protocol); Kapitel 8, „Erweiterte Diagnostik und die Gefahr, Präzision mit Wahrheit zu verwechseln“ (Augmented Diagnosis and the Risk of Mistaking Precision for Truth); Kapitel 14, „Die Wartung entscheidet, wer Handlungsmacht behält“ (Maintenance Determines Who Keeps a Voice); Zwischenspiel II, „Die Kosten der Kontrolle“ (The Cost of Control), „Der Schaden, der bleibt“ (The Harm That Remains); Anhang, Werkzeuge für die Lektüre (Tools for the Reader), „Die sieben Fragen des 2050-Tests“ (The Seven Questions of the 2050 Test).</w:t>
      </w:r>
    </w:p>
    <w:p>
      <w:pPr>
        <w:spacing w:after="100" w:line="270" w:lineRule="exact"/>
      </w:pPr>
      <w:r>
        <w:rPr>
          <w:rFonts w:ascii="EB Garamond" w:hAnsi="EB Garamond" w:eastAsia="EB Garamond" w:cs="EB Garamond"/>
          <w:color w:val="1F2D33"/>
          <w:sz w:val="21"/>
          <w:szCs w:val="21"/>
        </w:rPr>
        <w:t xml:space="preserve">Überprüfung benötigt Zeit und Kompetenz, ohne Nullrisiko zu versprechen. Sie muss eine Dokumentation hinterlassen, die Rekonstruktion und Abhilfe unterstützt und eine Möglichkeit bietet, das System einzuschränken.</w:t>
      </w:r>
    </w:p>
    <w:p>
      <w:pPr>
        <w:keepNext/>
        <w:spacing w:before="200" w:after="80" w:line="300" w:lineRule="exact"/>
      </w:pPr>
      <w:r>
        <w:rPr>
          <w:rFonts w:ascii="EB Garamond" w:hAnsi="EB Garamond" w:eastAsia="EB Garamond" w:cs="EB Garamond"/>
          <w:b/>
          <w:color w:val="183445"/>
          <w:sz w:val="23"/>
          <w:szCs w:val="23"/>
        </w:rPr>
        <w:t xml:space="preserve">Materielle Nachhaltigkeit und Gerechtigkeit</w:t>
      </w:r>
    </w:p>
    <w:p>
      <w:pPr>
        <w:spacing w:after="40" w:line="270" w:lineRule="exact"/>
        <w:keepNext/>
      </w:pPr>
      <w:r>
        <w:rPr>
          <w:rFonts w:ascii="EB Garamond" w:hAnsi="EB Garamond" w:eastAsia="EB Garamond" w:cs="EB Garamond"/>
          <w:i/>
          <w:color w:val="5A686F"/>
          <w:sz w:val="21"/>
          <w:szCs w:val="21"/>
        </w:rPr>
        <w:t xml:space="preserve">Vorkommen im Buch: Kapitel 3, „Der Tag, an dem die Welt lautlos stehen bleibt“ (The Day the World Stops Without a Sound); Kapitel 13, „Die verborgene Lieferkette: Bergwerke, Fabriken, Logistik und Abfälle“ (The Hidden Supply Chain: Mines, Factories, Logistics, and Waste), „Wasser und Land rund um das Rechenzentrum“ (Water and Land Around the Data Center), „Eine neue Vorstellung von Fortschritt“ (A New Idea of Progress); Kapitel 14, „Zusammenarbeit über Grenzen hinweg“ (Cooperation Across Borders).</w:t>
      </w:r>
    </w:p>
    <w:p>
      <w:pPr>
        <w:spacing w:after="100" w:line="270" w:lineRule="exact"/>
      </w:pPr>
      <w:r>
        <w:rPr>
          <w:rFonts w:ascii="EB Garamond" w:hAnsi="EB Garamond" w:eastAsia="EB Garamond" w:cs="EB Garamond"/>
          <w:color w:val="1F2D33"/>
          <w:sz w:val="21"/>
          <w:szCs w:val="21"/>
        </w:rPr>
        <w:t xml:space="preserve">Energie, Wasser, Mineralien, Geräte, Arbeit und Abfälle bilden eine Kette von Entscheidungen, keinen abstrakten Kostenposten.</w:t>
      </w:r>
    </w:p>
    <w:p>
      <w:pPr>
        <w:keepNext/>
        <w:spacing w:before="200" w:after="80" w:line="300" w:lineRule="exact"/>
      </w:pPr>
      <w:r>
        <w:rPr>
          <w:rFonts w:ascii="EB Garamond" w:hAnsi="EB Garamond" w:eastAsia="EB Garamond" w:cs="EB Garamond"/>
          <w:b/>
          <w:color w:val="183445"/>
          <w:sz w:val="23"/>
          <w:szCs w:val="23"/>
        </w:rPr>
        <w:t xml:space="preserve">Strategische Abhängigkeit, Wartung und Handlungsmacht über die Infrastruktur</w:t>
      </w:r>
    </w:p>
    <w:p>
      <w:pPr>
        <w:spacing w:after="40" w:line="270" w:lineRule="exact"/>
        <w:keepNext/>
      </w:pPr>
      <w:r>
        <w:rPr>
          <w:rFonts w:ascii="EB Garamond" w:hAnsi="EB Garamond" w:eastAsia="EB Garamond" w:cs="EB Garamond"/>
          <w:i/>
          <w:color w:val="5A686F"/>
          <w:sz w:val="21"/>
          <w:szCs w:val="21"/>
        </w:rPr>
        <w:t xml:space="preserve">Vorkommen im Buch: Kapitel 3, „Der Tag, an dem die Welt lautlos stehen bleibt“ (The Day the World Stops Without a Sound); Kapitel 14, „Die Wartung entscheidet, wer Handlungsmacht behält“ (Maintenance Determines Who Keeps a Voice), „Die Infrastruktur hinter dem Vertrag“ (The Infrastructure Behind the Contract).</w:t>
      </w:r>
    </w:p>
    <w:p>
      <w:pPr>
        <w:spacing w:after="100" w:line="270" w:lineRule="exact"/>
      </w:pPr>
      <w:r>
        <w:rPr>
          <w:rFonts w:ascii="EB Garamond" w:hAnsi="EB Garamond" w:eastAsia="EB Garamond" w:cs="EB Garamond"/>
          <w:color w:val="1F2D33"/>
          <w:sz w:val="21"/>
          <w:szCs w:val="21"/>
        </w:rPr>
        <w:t xml:space="preserve">Relative Autonomie entsteht durch Alternativen, lokale Kompetenz, Standards und konkrete Befugnisse zum Aussetzen, Korrigieren und Exportieren.</w:t>
      </w:r>
    </w:p>
    <w:p>
      <w:pPr>
        <w:keepNext/>
        <w:spacing w:before="200" w:after="80" w:line="300" w:lineRule="exact"/>
      </w:pPr>
      <w:r>
        <w:rPr>
          <w:rFonts w:ascii="EB Garamond" w:hAnsi="EB Garamond" w:eastAsia="EB Garamond" w:cs="EB Garamond"/>
          <w:b/>
          <w:color w:val="183445"/>
          <w:sz w:val="23"/>
          <w:szCs w:val="23"/>
        </w:rPr>
        <w:t xml:space="preserve">Ungleichheit und Zugang</w:t>
      </w:r>
    </w:p>
    <w:p>
      <w:pPr>
        <w:spacing w:after="40" w:line="270" w:lineRule="exact"/>
        <w:keepNext/>
      </w:pPr>
      <w:r>
        <w:rPr>
          <w:rFonts w:ascii="EB Garamond" w:hAnsi="EB Garamond" w:eastAsia="EB Garamond" w:cs="EB Garamond"/>
          <w:i/>
          <w:color w:val="5A686F"/>
          <w:sz w:val="21"/>
          <w:szCs w:val="21"/>
        </w:rPr>
        <w:t xml:space="preserve">Vorkommen im Buch: Zwischenspiel I, „4. Verteilung — Wer profitiert, wer bezahlt und wer kann widersprechen?“ (4. Distribution—Who Benefits, Who Pays, and Who Can Object?); Kapitel 4, „Wo Verantwortung liegt“ (Where Responsibility Falls); Kapitel 5, „Die Stadt als bürgerschaftliche Übereinkunft“ (The City as a Civic Compact); Kapitel 6, „Urteilskraft jenseits des Werkzeugs“ (Judgment Beyond the Tool); Kapitel 8, „Fürsorge ohne Entmenschlichung“ (Caring Without Dehumanizing); Kapitel 12, „Rechte im Zeitalter der Vorhersage“ (Rights in the Age of Prediction); Kapitel 13, „Eine neue Vorstellung von Fortschritt“ (A New Idea of Progress); Kapitel 14, „Autonomie in wechselseitiger Abhängigkeit“ (Autonomy Within Interdependence).</w:t>
      </w:r>
    </w:p>
    <w:p>
      <w:pPr>
        <w:spacing w:after="100" w:line="270" w:lineRule="exact"/>
      </w:pPr>
      <w:r>
        <w:rPr>
          <w:rFonts w:ascii="EB Garamond" w:hAnsi="EB Garamond" w:eastAsia="EB Garamond" w:cs="EB Garamond"/>
          <w:color w:val="1F2D33"/>
          <w:sz w:val="21"/>
          <w:szCs w:val="21"/>
        </w:rPr>
        <w:t xml:space="preserve">Nutzen, Wartezeiten, Schutz und Kosten unterscheiden sich nach Einkommen, Gebiet, Verwaltungskapazität und Zugang zu Abhilfe.</w:t>
      </w:r>
    </w:p>
    <w:p>
      <w:pPr>
        <w:keepNext/>
        <w:spacing w:before="200" w:after="80" w:line="300" w:lineRule="exact"/>
      </w:pPr>
      <w:r>
        <w:rPr>
          <w:rFonts w:ascii="EB Garamond" w:hAnsi="EB Garamond" w:eastAsia="EB Garamond" w:cs="EB Garamond"/>
          <w:b/>
          <w:color w:val="183445"/>
          <w:sz w:val="23"/>
          <w:szCs w:val="23"/>
        </w:rPr>
        <w:t xml:space="preserve">Erinnerung, Archiv, Simulation und Vergessen</w:t>
      </w:r>
    </w:p>
    <w:p>
      <w:pPr>
        <w:spacing w:after="40" w:line="270" w:lineRule="exact"/>
        <w:keepNext/>
      </w:pPr>
      <w:r>
        <w:rPr>
          <w:rFonts w:ascii="EB Garamond" w:hAnsi="EB Garamond" w:eastAsia="EB Garamond" w:cs="EB Garamond"/>
          <w:i/>
          <w:color w:val="5A686F"/>
          <w:sz w:val="21"/>
          <w:szCs w:val="21"/>
        </w:rPr>
        <w:t xml:space="preserve">Vorkommen im Buch: Kapitel 15, „Die Toten, die niemals gehen“ (The Dead Who Never Leave), „Mit den Verstorbenen sprechen“ (Talking to Those Who Are Gone), „Das Recht zu verschwinden“ (The Right to Disappear), „Erinnerung ist kein Archiv“ (Memory Is Not an Archive); Kapitel 11, „Der Freund, der niemals schläft“ (The Friend Who Never Sleeps); Kapitel 12, „Rechte im Zeitalter der Vorhersage“ (Rights in the Age of Prediction); Epilog, „Was wir nicht delegieren“ (What We Do Not Delegate).</w:t>
      </w:r>
    </w:p>
    <w:p>
      <w:pPr>
        <w:spacing w:after="100" w:line="270" w:lineRule="exact"/>
      </w:pPr>
      <w:r>
        <w:rPr>
          <w:rFonts w:ascii="EB Garamond" w:hAnsi="EB Garamond" w:eastAsia="EB Garamond" w:cs="EB Garamond"/>
          <w:color w:val="1F2D33"/>
          <w:sz w:val="21"/>
          <w:szCs w:val="21"/>
        </w:rPr>
        <w:t xml:space="preserve">Spuren bewahren, ein Gedenkarchiv ordnen und neue Worte erzeugen sind verschiedene Handlungen mit unterschiedlichen Mandaten und Rechten.</w:t>
      </w:r>
    </w:p>
    <w:p>
      <w:pPr>
        <w:keepNext/>
        <w:spacing w:before="200" w:after="80" w:line="300" w:lineRule="exact"/>
      </w:pPr>
      <w:r>
        <w:rPr>
          <w:rFonts w:ascii="EB Garamond" w:hAnsi="EB Garamond" w:eastAsia="EB Garamond" w:cs="EB Garamond"/>
          <w:b/>
          <w:color w:val="183445"/>
          <w:sz w:val="23"/>
          <w:szCs w:val="23"/>
        </w:rPr>
        <w:t xml:space="preserve">Lebenszyklus, Überwachung und Ausstieg</w:t>
      </w:r>
    </w:p>
    <w:p>
      <w:pPr>
        <w:spacing w:after="40" w:line="270" w:lineRule="exact"/>
        <w:keepNext/>
      </w:pPr>
      <w:r>
        <w:rPr>
          <w:rFonts w:ascii="EB Garamond" w:hAnsi="EB Garamond" w:eastAsia="EB Garamond" w:cs="EB Garamond"/>
          <w:i/>
          <w:color w:val="5A686F"/>
          <w:sz w:val="21"/>
          <w:szCs w:val="21"/>
        </w:rPr>
        <w:t xml:space="preserve">Vorkommen im Buch: Kapitel 7, „Das Prüfprotokoll“ (The Testing Protocol); Kapitel 16, „Vor der Nutzung: Prüfbogen und Mandat“ (Before Use: Worksheet and Mandate), „Während der Nutzung: Register und Aufsicht“ (During Use: Log and Oversight), „Wenn etwas vom Kurs abkommt: Störfall und Rechtsschutz“ (When Something Goes Off Course: Incident and Redress), „Kontinuität, wenn ein System schließt“ (Continuity When a System Closes); Anhang, Werkzeuge für die Lektüre (Tools for the Reader), „Die sieben Fragen des 2050-Tests“ (The Seven Questions of the 2050 Test), „Mindestangaben“ (The Minimum Worksheet), „Gekürztes Beispiel: Davide, 15. Oktober 2050, mit Nachverfolgung“ (Condensed Example: Davide, October 15, 2050, and Follow-up).</w:t>
      </w:r>
    </w:p>
    <w:p>
      <w:pPr>
        <w:spacing w:after="100" w:line="270" w:lineRule="exact"/>
      </w:pPr>
      <w:r>
        <w:rPr>
          <w:rFonts w:ascii="EB Garamond" w:hAnsi="EB Garamond" w:eastAsia="EB Garamond" w:cs="EB Garamond"/>
          <w:color w:val="1F2D33"/>
          <w:sz w:val="21"/>
          <w:szCs w:val="21"/>
        </w:rPr>
        <w:t xml:space="preserve">Prüfbogen, Register, Störfall, Rechtsschutz, Ausstiegstest und erneute Prüfung halten das Mandat beobachtbar, während sich Modell, Daten, Umfang oder verantwortliche Personen ändern.</w:t>
      </w:r>
    </w:p>
    <w:p>
      <w:pPr>
        <w:keepNext/>
        <w:spacing w:before="200" w:after="80" w:line="300" w:lineRule="exact"/>
      </w:pPr>
      <w:r>
        <w:rPr>
          <w:rFonts w:ascii="EB Garamond" w:hAnsi="EB Garamond" w:eastAsia="EB Garamond" w:cs="EB Garamond"/>
          <w:b/>
          <w:color w:val="183445"/>
          <w:sz w:val="23"/>
          <w:szCs w:val="23"/>
        </w:rPr>
        <w:t xml:space="preserve">Nicht delegieren, Kosten des Neins und Wiederaufnahme</w:t>
      </w:r>
    </w:p>
    <w:p>
      <w:pPr>
        <w:spacing w:after="40" w:line="270" w:lineRule="exact"/>
        <w:keepNext/>
      </w:pPr>
      <w:r>
        <w:rPr>
          <w:rFonts w:ascii="EB Garamond" w:hAnsi="EB Garamond" w:eastAsia="EB Garamond" w:cs="EB Garamond"/>
          <w:i/>
          <w:color w:val="5A686F"/>
          <w:sz w:val="21"/>
          <w:szCs w:val="21"/>
        </w:rPr>
        <w:t xml:space="preserve">Vorkommen im Buch: Kapitel 16, „Gegen die Einführung entscheiden“ (Deciding Against Adoption), „Die Kosten des Neins und die erneute Prüfung“ (The Costs of Refusal and Reconsideration); Epilog, „Was wir nicht delegieren“ (What We Do Not Delegate); Anhang, Werkzeuge für die Lektüre (Tools for the Reader), „Gekürztes Beispiel: Davide, 15. Oktober 2050, mit Nachverfolgung“ (Condensed Example: Davide, October 15, 2050, and Follow-up).</w:t>
      </w:r>
    </w:p>
    <w:p>
      <w:pPr>
        <w:spacing w:after="100" w:line="270" w:lineRule="exact"/>
      </w:pPr>
      <w:r>
        <w:rPr>
          <w:rFonts w:ascii="EB Garamond" w:hAnsi="EB Garamond" w:eastAsia="EB Garamond" w:cs="EB Garamond"/>
          <w:color w:val="1F2D33"/>
          <w:sz w:val="21"/>
          <w:szCs w:val="21"/>
        </w:rPr>
        <w:t xml:space="preserve">Das Nein dokumentiert Schutz und Kosten und hält zugleich eine Alternative aufrecht. Ein neuer Test kann die Entscheidung wieder aufnehmen, ohne das erste Urteil zu tilgen.</w:t>
      </w:r>
    </w:p>
    <w:sectPr>
      <w:headerReference w:type="default" r:id="rId9"/>
      <w:footerReference w:type="default" r:id="rId10"/>
      <w:footerReference w:type="first" r:id="rId11"/>
      <w:pgSz w:w="12240" w:h="15840"/>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DE-R2.3 - Dokumentarischer Stand Juli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https://www.corneritaliano.com/de/2050/ressourcen/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OFFIZIELLE RESSOURCEN  |  Themenkarte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de-DE" w:eastAsia="de-DE"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de/2050/ressourc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Themenkarte | DE-R2.3 | Deutsch | English source V51.2</dc:title>
  <dc:subject>Themenkarte | DE-R2.3 | Deutsch | English source V51.2</dc:subject>
  <dc:creator>Marco De Prosperis</dc:creator>
  <cp:keywords>2050, EN-US-R2.3, July 2026 documentary snapshot, revised English interior</cp:keywords>
  <dc:description>Themenkarte | DE-R2.3 | Deutsch | English source V51.2</dc:description>
  <cp:lastModifiedBy>Corner Italiano LLC</cp:lastModifiedBy>
  <cp:revision>2</cp:revision>
  <dcterms:created xsi:type="dcterms:W3CDTF">2013-12-23T23:15:00Z</dcterms:created>
  <dcterms:modified xsi:type="dcterms:W3CDTF">2026-09-10T15:55:33Z</dcterms:modified>
  <cp:category/>
  <dc:language>de-DE</dc:language>
</cp:coreProperties>
</file>