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odttf" ContentType="application/vnd.openxmlformats-officedocument.obfuscatedFont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Corner Italiano editorial log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  <w:rPr>
          <w:rFonts w:ascii="EB Garamond" w:hAnsi="EB Garamond" w:eastAsia="EB Garamond" w:cs="EB Garamond"/>
          <w:sz w:val="21"/>
          <w:szCs w:val="21"/>
        </w:rPr>
      </w:r>
    </w:p>
    <w:p>
      <w:pPr>
        <w:spacing w:before="520" w:after="160" w:line="270" w:lineRule="exact"/>
        <w:jc w:val="center"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>CORNER ITALIANO  |  OFFICIAL RESOURCES</w:t>
      </w:r>
    </w:p>
    <w:p>
      <w:pPr>
        <w:pStyle w:val="Title"/>
        <w:jc w:val="center"/>
        <w:spacing w:line="640" w:lineRule="exact"/>
      </w:pPr>
      <w:r>
        <w:rPr>
          <w:rFonts w:ascii="EB Garamond" w:hAnsi="EB Garamond" w:eastAsia="EB Garamond" w:cs="EB Garamond"/>
          <w:b/>
          <w:color w:val="183445"/>
          <w:sz w:val="56"/>
          <w:szCs w:val="56"/>
        </w:rPr>
        <w:t>Topic Map</w:t>
      </w:r>
    </w:p>
    <w:p>
      <w:pPr>
        <w:pStyle w:val="Subtitle"/>
        <w:jc w:val="center"/>
        <w:spacing w:line="320" w:lineRule="exact"/>
      </w:pPr>
      <w:r>
        <w:rPr>
          <w:rFonts w:ascii="EB Garamond" w:hAnsi="EB Garamond" w:eastAsia="EB Garamond" w:cs="EB Garamond"/>
          <w:color w:val="5A686F"/>
          <w:sz w:val="26"/>
          <w:szCs w:val="26"/>
        </w:rPr>
        <w:t>Where to find the book’s central questions</w:t>
      </w:r>
    </w:p>
    <w:p>
      <w:pPr>
        <w:spacing w:before="440" w:line="270" w:lineRule="exact"/>
        <w:jc w:val="center"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>A THEMATIC READING INDEX</w:t>
      </w:r>
    </w:p>
    <w:p>
      <w:pPr>
        <w:jc w:val="center"/>
        <w:spacing w:line="270" w:lineRule="exact"/>
      </w:pPr>
      <w:r>
        <w:rPr>
          <w:rFonts w:ascii="EB Garamond" w:hAnsi="EB Garamond" w:eastAsia="EB Garamond" w:cs="EB Garamond"/>
          <w:color w:val="183445"/>
          <w:sz w:val="21"/>
          <w:szCs w:val="21"/>
        </w:rPr>
        <w:t>Aligned with the revised English interior · Documentary snapshot July 2026 · Resource version EN-US-R2.3</w:t>
      </w:r>
    </w:p>
    <w:p>
      <w:pPr>
        <w:spacing w:before="360" w:line="270" w:lineRule="exact"/>
        <w:jc w:val="center"/>
      </w:pPr>
      <w:hyperlink r:id="rId13">
        <w:r>
          <w:rPr>
            <w:rFonts w:ascii="EB Garamond" w:hAnsi="EB Garamond" w:eastAsia="EB Garamond" w:cs="EB Garamond"/>
            <w:color w:val="183445"/>
            <w:u w:val="single"/>
            <w:sz w:val="21"/>
            <w:szCs w:val="21"/>
          </w:rPr>
          <w:t>https://www.corneritaliano.com/en/2050/resources/</w:t>
        </w:r>
      </w:hyperlink>
    </w:p>
    <w:p>
      <w:r>
        <w:br w:type="page"/>
        <w:rPr>
          <w:rFonts w:ascii="EB Garamond" w:hAnsi="EB Garamond" w:eastAsia="EB Garamond" w:cs="EB Garamond"/>
          <w:sz w:val="21"/>
          <w:szCs w:val="21"/>
        </w:rPr>
      </w:r>
      <w:pPr/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 w:line="210" w:lineRule="exact"/>
            </w:pPr>
            <w:r>
              <w:rPr>
                <w:rFonts w:ascii="EB Garamond" w:hAnsi="EB Garamond" w:eastAsia="EB Garamond" w:cs="EB Garamond"/>
                <w:b/>
                <w:color w:val="B04A35"/>
                <w:sz w:val="17"/>
                <w:szCs w:val="17"/>
              </w:rPr>
              <w:t xml:space="preserve">ORIENTATION  </w:t>
            </w:r>
            <w:r>
              <w:rPr>
                <w:rFonts w:ascii="EB Garamond" w:hAnsi="EB Garamond" w:eastAsia="EB Garamond" w:cs="EB Garamond"/>
                <w:color w:val="1F2D33"/>
                <w:sz w:val="17"/>
                <w:szCs w:val="17"/>
              </w:rPr>
              <w:t>The book develops these questions at different scales. Use the chapter numbers and section titles to find each theme when pagination changes. Titles as in the revised English interior (2026).</w:t>
            </w:r>
          </w:p>
        </w:tc>
      </w:tr>
    </w:tbl>
    <w:p>
      <w:pPr>
        <w:spacing w:after="0"/>
      </w:pP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Adult hope and limits on delegation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Introduction, ‘The Distance to 2050’; Chapter 16, ‘Before Use: Worksheet and Mandate’; Epilogue, ‘What We Do Not Delegate’.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Study technology and use it when it improves life. Preserve places where human choices can set limits on its use, including refusal, and correct its effects.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Capability, reliability, and authority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Introduction, ‘The Distance to 2050’; Interlude I, ‘The Three Answer States’; Chapter 1, ‘How Machines Learn from Examples’; Chapter 4, ‘Where Responsibility Falls’; Chapter 7, ‘What the Twin Cannot Do’, ‘Four Modes of Delegation’; Chapter 8, ‘Caring Without Dehumanizing’, ‘Augmented Diagnosis and the Risk of Mistaking Precision for Truth’; Chapter 12, ‘Rights in the Age of Prediction’; Chapter 16, ‘Before Use: Worksheet and Mandate’; Appendix, Tools for the Reader, ‘Map of the Three Vocabularies’.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Being able to do something, succeeding under real conditions, and being authorized to act are distinct properties.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The 2050 Test and the three vocabularies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Interlude I, ‘Seven Questions Before Delegating’, ‘The Three Answer States’; Chapter 7, ‘Four Modes of Delegation’; Interlude II, ‘The Cost of Control’; Chapter 16, ‘Before Use: Worksheet and Mandate’; Appendix, Tools for the Reader, ‘The Seven Questions of the 2050 Test’, ‘When an Answer Is Sufficient, and When It Blocks’, ‘The Decision Rule’, ‘The Minimum Worksheet’.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The seven questions, the answer status, and the organizational decision remain separate and do not produce a compensatory average.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Identity, proof minimization, and portability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2, ‘Proving Enough, Not Everything’, ‘The Verifiable Credential’, ‘Moving and Recovering Evidence’; Chapter 3, ‘The Day the World Stops Without a Sound’; Chapter 16, ‘Continuity When a System Closes’; Appendix, Tools for the Reader, ‘The Seven Questions of the 2050 Test’.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Demonstrate only what is needed without handing over the person or transferring all recovery and exit risk to them.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Infrastructure, continuity, and the exit test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3, ‘The Day the World Stops Without a Sound’; Chapter 14, ‘The Infrastructure Behind the Contract’; Chapter 16, ‘Continuity When a System Closes’; Appendix, Tools for the Reader, ‘The Seven Questions of the 2050 Test’.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Cloud services, networks, APIs, contracts, and residual competence become governable when reduced continuity and replacement are tested.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Work, competence, and training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4, ‘The Great Shift: From Tasks to Responsibilities’; Chapter 6, ‘From Transferring Knowledge to Cultivating Judgment’; Chapter 7, ‘What the Twin Cannot Do’; Chapter 10, ‘A Person Was Here’; Chapter 16, ‘Before Use: Worksheet and Mandate’.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Automation compresses tasks. Apprenticeship keeps judgment practicable when workers have time to exercise it and authority over the outcome.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Mandate, Redress, and meaningful oversight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4, ‘Where Responsibility Falls’; Chapter 5, ‘The Mandate of the Public Gaze’; Chapter 7, ‘Where the Mandate Must Stop’; Chapter 8, ‘Augmented Diagnosis and the Risk of Mistaking Precision for Truth’; Chapter 12, ‘Rights in the Age of Prediction’; Chapter 16, ‘When Something Goes Off Course: Incident and Redress’; Interlude I, ‘Seven Questions Before Delegating’; Interlude II, ‘The Cost of Control’.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A person matters in the process when they possess evidence, time, and power to suspend, correct, and obtain a reasoned outcome.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Care, uncertainty, and dignity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8, ‘Caring Without Dehumanizing’, ‘Care at the End of Life’; Chapter 11, ‘The Friend Who Never Sleeps’; Chapter 15, ‘The Dead Who Never Leave’.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Technical error, clinical uncertainty, conflict of values, presence, and farewell require different responses.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Public truth, provenance, and epistemic fatigue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9, ‘Rebuilding Public Trust’; Chapter 10, ‘Creative Sources and Their Use’; Appendix, Tools for the Reader, ‘Essential Glossary’.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Reconstructing origin and transformations helps verification, but public trust also depends on the human and institutional cost of challenging a claim.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Authorship, signature, and the new scarcity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10, ‘From Generation to a Work’, ‘A Person Was Here’; Chapter 9, ‘Rebuilding Public Trust’.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Provenance, disclosure of tools, and signature distribute history, transparency, and responsibility without automatically assigning value to a work.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Attachment, minors, and relational asymmetry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11, ‘The Friend Who Never Sleeps’, ‘The Asymmetry’, ‘The Business Model of Affection’; Chapter 15, ‘The Dead Who Never Leave’; Chapter 16, ‘Deciding Against Adoption’.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Comfort can become a bridge or a cage depending on memory, incentives, freedom to stop, and openness to other relationships.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Privacy, profiling, and unmeasured intervals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5, ‘The Mandate of the Public Gaze’; Chapter 12, ‘When Bias Enters the System’, ‘Rights in the Age of Prediction’; Chapter 11, ‘The Business Model of Affection’.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Protection does not automatically authorize command, and a person must be able to change without immediately producing an operational profile.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Cost of control, residual harm, and organizational capacity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7, ‘The Testing Protocol’; Chapter 8, ‘Augmented Diagnosis and the Risk of Mistaking Precision for Truth’; Chapter 14, ‘Maintenance Determines Who Keeps a Voice’; Interlude II, ‘The Cost of Control’, ‘The Harm That Remains’; Appendix, Tools for the Reader, ‘The Seven Questions of the 2050 Test’.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Verification takes time and competence without promising zero risk. It must leave a record that supports reconstruction and repair, with a way to restrict the system.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Material sustainability and justice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3, ‘The Day the World Stops Without a Sound’; Chapter 13, ‘The Hidden Supply Chain: Mines, Factories, Logistics, and Waste’, ‘Water and Land Around the Data Center’, ‘A New Idea of Progress’; Chapter 14, ‘Cooperation Across Borders’.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Energy, water, minerals, equipment, labor, and waste form a chain of decisions, not an abstract cost.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Strategic dependency, maintenance, and infrastructural voice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3, ‘The Day the World Stops Without a Sound’; Chapter 14, ‘Maintenance Determines Who Keeps a Voice’, ‘The Infrastructure Behind the Contract’.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Relative autonomy grows from alternatives, local competence, standards, and concrete powers to suspend, correct, and export.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Inequality and access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Interlude I, ‘4. Distribution—Who Benefits, Who Pays, and Who Can Object?’; Chapter 4, ‘Where Responsibility Falls’; Chapter 5, ‘The City as a Civic Compact’; Chapter 6, ‘Judgment Beyond the Tool’; Chapter 8, ‘Caring Without Dehumanizing’; Chapter 12, ‘Rights in the Age of Prediction’; Chapter 13, ‘A New Idea of Progress’; Chapter 14, ‘Autonomy Within Interdependence’.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Benefits, waiting, protections, and costs change with income, territory, administrative capacity, and access to a remedy.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Memory, archive, simulation, and forgetting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>Chapter 15, ‘The Dead Who Never Leave’, ‘Talking to Those Who Are Gone’, ‘The Right to Disappear’, ‘Memory Is Not an Archive’; Chapter 11, ‘The Friend Who Never Sleeps’; Chapter 12, ‘Rights in the Age of Prediction’; Epilogue, ‘What We Do Not Delegate’.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Preserving traces, organizing a memorial, and generating new words are different acts, with different Mandates and rights.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Life cycle, monitoring, and exit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 xml:space="preserve">Chapter 7, ‘The Testing Protocol’; Chapter 16, ‘Before Use: Worksheet and Mandate’, ‘During Use: Log and Oversight’, ‘When Something Goes Off Course: Incident and Redress’, ‘Continuity When a System Closes’; Appendix, Tools for the Reader, ‘The Seven Questions of the 2050 Test’, ‘The Minimum Worksheet’, ‘Condensed Example: Davide, October 15, 2050, and Follow-up’.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Worksheet, log, incident, Redress, exit test, and review keep the Mandate observable while the model, data, scale, or responsible people change.</w:t>
      </w:r>
    </w:p>
    <w:p>
      <w:pPr>
        <w:keepNext/>
        <w:spacing w:before="200" w:after="80" w:line="300" w:lineRule="exact"/>
      </w:pPr>
      <w:r>
        <w:rPr>
          <w:rFonts w:ascii="EB Garamond" w:hAnsi="EB Garamond" w:eastAsia="EB Garamond" w:cs="EB Garamond"/>
          <w:b/>
          <w:color w:val="183445"/>
          <w:sz w:val="23"/>
          <w:szCs w:val="23"/>
        </w:rPr>
        <w:t>Do not delegate, the cost of saying no, and reopening</w:t>
      </w:r>
    </w:p>
    <w:p>
      <w:pPr>
        <w:spacing w:after="40" w:line="270" w:lineRule="exact"/>
        <w:keepNext/>
      </w:pPr>
      <w:r>
        <w:rPr>
          <w:rFonts w:ascii="EB Garamond" w:hAnsi="EB Garamond" w:eastAsia="EB Garamond" w:cs="EB Garamond"/>
          <w:b/>
          <w:color w:val="B04A35"/>
          <w:sz w:val="21"/>
          <w:szCs w:val="21"/>
        </w:rPr>
        <w:t xml:space="preserve">Where in the book: </w:t>
      </w:r>
      <w:r>
        <w:rPr>
          <w:rFonts w:ascii="EB Garamond" w:hAnsi="EB Garamond" w:eastAsia="EB Garamond" w:cs="EB Garamond"/>
          <w:i/>
          <w:color w:val="5A686F"/>
          <w:sz w:val="21"/>
          <w:szCs w:val="21"/>
        </w:rPr>
        <w:t xml:space="preserve">Chapter 16, ‘Deciding Against Adoption’, ‘The Costs of Refusal and Reconsideration’; Epilogue, ‘What We Do Not Delegate’; Appendix, Tools for the Reader, ‘Condensed Example: Davide, October 15, 2050, and Follow-up’.</w:t>
      </w:r>
    </w:p>
    <w:p>
      <w:pPr>
        <w:spacing w:after="100" w:line="270" w:lineRule="exact"/>
      </w:pPr>
      <w:r>
        <w:rPr>
          <w:rFonts w:ascii="EB Garamond" w:hAnsi="EB Garamond" w:eastAsia="EB Garamond" w:cs="EB Garamond"/>
          <w:color w:val="1F2D33"/>
          <w:sz w:val="21"/>
          <w:szCs w:val="21"/>
        </w:rPr>
        <w:t>Refusal records protections and costs while preserving an alternative. A new test can reopen the decision without erasing the first judgment.</w:t>
      </w:r>
    </w:p>
    <w:sectPr>
      <w:headerReference w:type="default" r:id="rId9"/>
      <w:footerReference w:type="default" r:id="rId10"/>
      <w:footerReference w:type="first" r:id="rId11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EB Garamond">
    <w:altName w:val="Garamond"/>
    <w:charset w:val="00"/>
    <w:family w:val="auto"/>
    <w:pitch w:val="variable"/>
    <w:sig w:usb0="E00002FF" w:usb1="02000413" w:usb2="00000000" w:usb3="00000000" w:csb0="0000019F" w:csb1="00000000"/>
    <w:embedRegular r:id="rId1" w:fontKey="{8803E84C-4695-4705-838C-D4FC599F85E4}"/>
    <w:embedBold r:id="rId2" w:fontKey="{34828F21-0C39-43B1-A4DE-E08636D6C3A3}"/>
    <w:embedItalic r:id="rId3" w:fontKey="{16841129-51C1-4C09-BE4D-4D07B4C2C00A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 w:line="200" w:lineRule="exact"/>
    </w:pPr>
    <w:r>
      <w:rPr>
        <w:rFonts w:ascii="EB Garamond" w:hAnsi="EB Garamond" w:eastAsia="EB Garamond" w:cs="EB Garamond"/>
        <w:color w:val="65757D"/>
        <w:sz w:val="16"/>
        <w:szCs w:val="16"/>
      </w:rPr>
      <w:t>2050 - EN-US-R2.3 - Documentary snapshot July 2026</w:t>
    </w:r>
    <w:r>
      <w:tab/>
      <w:rPr>
        <w:rFonts w:ascii="EB Garamond" w:hAnsi="EB Garamond" w:eastAsia="EB Garamond" w:cs="EB Garamond"/>
        <w:sz w:val="16"/>
        <w:szCs w:val="16"/>
        <w:color w:val="65757D"/>
      </w:rPr>
    </w:r>
    <w:r>
      <w:rPr>
        <w:rFonts w:ascii="EB Garamond" w:hAnsi="EB Garamond" w:eastAsia="EB Garamond" w:cs="EB Garamond"/>
        <w:color w:val="65757D"/>
        <w:sz w:val="16"/>
        <w:szCs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spacing w:line="200" w:lineRule="exact"/>
    </w:pPr>
    <w:r>
      <w:rPr>
        <w:rFonts w:ascii="EB Garamond" w:hAnsi="EB Garamond" w:eastAsia="EB Garamond" w:cs="EB Garamond"/>
        <w:color w:val="65757D"/>
        <w:sz w:val="16"/>
        <w:szCs w:val="16"/>
      </w:rPr>
      <w:t>https://www.corneritaliano.com/en/2050/resources/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00" w:lineRule="exact"/>
      <w:jc w:val="left"/>
    </w:pPr>
    <w:r>
      <w:rPr>
        <w:rFonts w:ascii="EB Garamond" w:hAnsi="EB Garamond" w:eastAsia="EB Garamond" w:cs="EB Garamond"/>
        <w:b/>
        <w:color w:val="65757D"/>
        <w:sz w:val="16"/>
        <w:szCs w:val="16"/>
      </w:rPr>
      <w:t xml:space="preserve">2050  |  OFFICIAL RESOURCES  |  </w:t>
    </w:r>
    <w:r>
      <w:rPr>
        <w:rFonts w:ascii="EB Garamond" w:hAnsi="EB Garamond" w:eastAsia="EB Garamond" w:cs="EB Garamond"/>
        <w:color w:val="65757D"/>
        <w:sz w:val="16"/>
        <w:szCs w:val="16"/>
      </w:rPr>
      <w:t>Topic Map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EB Garamond" w:hAnsi="EB Garamond" w:eastAsia="EB Garamond" w:cs="EB Garamond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EB Garamond" w:hAnsi="EB Garamond" w:eastAsia="EB Garamond" w:cs="EB Garamond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EB Garamond" w:hAnsi="EB Garamond" w:eastAsia="EB Garamond" w:cs="EB Garamond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EB Garamond" w:hAnsi="EB Garamond" w:eastAsia="EB Garamond" w:cs="EB Garamond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embedTrueTypeFonts/>
  <w:saveSubsetFont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EB Garamond" w:hAnsi="EB Garamond" w:eastAsia="EB Garamond" w:cs="EB Garamond"/>
        <w:sz w:val="21"/>
        <w:szCs w:val="21"/>
        <w:lang w:val="en-US" w:eastAsia="en-US" w:bidi="ar-SA"/>
        <w:color w:val="1F2D33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70" w:lineRule="exact"/>
    </w:pPr>
    <w:rPr>
      <w:rFonts w:ascii="EB Garamond" w:hAnsi="EB Garamond" w:eastAsia="EB Garamond" w:cs="EB Garamond"/>
      <w:color w:val="1F2D33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EB Garamond" w:hAnsi="EB Garamond" w:eastAsia="EB Garamond" w:cs="EB Garamond"/>
      <w:sz w:val="16"/>
      <w:szCs w:val="16"/>
      <w:color w:val="65757D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EB Garamond" w:hAnsi="EB Garamond" w:eastAsia="EB Garamond" w:cs="EB Garamond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EB Garamond" w:hAnsi="EB Garamond" w:eastAsia="EB Garamond" w:cs="EB Garamond"/>
      <w:sz w:val="16"/>
      <w:szCs w:val="16"/>
      <w:color w:val="65757D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EB Garamond" w:hAnsi="EB Garamond" w:eastAsia="EB Garamond" w:cs="EB 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="EB Garamond" w:hAnsi="EB Garamond" w:eastAsia="EB Garamond" w:cs="EB Garamond"/>
      <w:b/>
      <w:bCs/>
      <w:color w:val="18344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="EB Garamond" w:hAnsi="EB Garamond" w:eastAsia="EB Garamond" w:cs="EB Garamond"/>
      <w:b/>
      <w:bCs/>
      <w:color w:val="B04A35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="EB Garamond" w:hAnsi="EB Garamond" w:eastAsia="EB Garamond" w:cs="EB Garamond"/>
      <w:b/>
      <w:bCs/>
      <w:color w:val="183445"/>
      <w:sz w:val="23"/>
      <w:szCs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EB Garamond" w:hAnsi="EB Garamond" w:eastAsia="EB Garamond" w:cs="EB Garamond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EB Garamond" w:hAnsi="EB Garamond" w:eastAsia="EB Garamond" w:cs="EB Garamond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EB Garamond" w:hAnsi="EB Garamond" w:eastAsia="EB Garamond" w:cs="EB Garamond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EB Garamond" w:hAnsi="EB Garamond" w:eastAsia="EB Garamond" w:cs="EB Garamond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EB Garamond" w:hAnsi="EB Garamond" w:eastAsia="EB Garamond" w:cs="EB Garamond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EB Garamond" w:hAnsi="EB Garamond" w:eastAsia="EB Garamond" w:cs="EB Garamond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EB Garamond" w:hAnsi="EB Garamond" w:eastAsia="EB Garamond" w:cs="EB Garamond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rPr>
      <w:rFonts w:ascii="EB Garamond" w:hAnsi="EB Garamond" w:eastAsia="EB Garamond" w:cs="EB Garamond"/>
    </w:rPr>
  </w:style>
  <w:style w:type="numbering" w:default="1" w:styleId="NoList">
    <w:name w:val="No List"/>
    <w:uiPriority w:val="99"/>
    <w:semiHidden/>
    <w:unhideWhenUsed/>
    <w:rPr>
      <w:rFonts w:ascii="EB Garamond" w:hAnsi="EB Garamond" w:eastAsia="EB Garamond" w:cs="EB Garamond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EB Garamond" w:hAnsi="EB Garamond" w:eastAsia="EB Garamond" w:cs="EB Garamond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EB Garamond" w:hAnsi="EB Garamond" w:eastAsia="EB Garamond" w:cs="EB Garamond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EB Garamond" w:hAnsi="EB Garamond" w:eastAsia="EB Garamond" w:cs="EB Garamond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EB Garamond" w:hAnsi="EB Garamond" w:eastAsia="EB Garamond" w:cs="EB Garamond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="EB Garamond" w:hAnsi="EB Garamond" w:eastAsia="EB Garamond" w:cs="EB Garamond"/>
      <w:b/>
      <w:color w:val="183445"/>
      <w:spacing w:val="5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EB Garamond" w:hAnsi="EB Garamond" w:eastAsia="EB Garamond" w:cs="EB Garamond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="EB Garamond" w:hAnsi="EB Garamond" w:eastAsia="EB Garamond" w:cs="EB Garamond"/>
      <w:b w:val="0"/>
      <w:i/>
      <w:iCs/>
      <w:color w:val="5A686F"/>
      <w:spacing w:val="15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EB Garamond" w:hAnsi="EB Garamond" w:eastAsia="EB Garamond" w:cs="EB Garamond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EB Garamond" w:hAnsi="EB Garamond" w:eastAsia="EB Garamond" w:cs="EB Garamond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EB Garamond" w:hAnsi="EB Garamond" w:eastAsia="EB Garamond" w:cs="EB Garamond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EB Garamond" w:hAnsi="EB Garamond" w:eastAsia="EB Garamond" w:cs="EB Garamond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EB Garamond" w:hAnsi="EB Garamond" w:eastAsia="EB Garamond" w:cs="EB Garamond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EB Garamond" w:hAnsi="EB Garamond" w:eastAsia="EB Garamond" w:cs="EB Garamond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rFonts w:ascii="EB Garamond" w:hAnsi="EB Garamond" w:eastAsia="EB Garamond" w:cs="EB Garamond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rFonts w:ascii="EB Garamond" w:hAnsi="EB Garamond" w:eastAsia="EB Garamond" w:cs="EB Garamond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EB Garamond" w:hAnsi="EB Garamond" w:eastAsia="EB Garamond" w:cs="EB Garamond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EB Garamond" w:hAnsi="EB Garamond" w:eastAsia="EB Garamond" w:cs="EB Garamond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EB Garamond" w:hAnsi="EB Garamond" w:eastAsia="EB Garamond" w:cs="EB Garamond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EB Garamond" w:hAnsi="EB Garamond" w:eastAsia="EB Garamond" w:cs="EB Garamond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EB Garamond" w:hAnsi="EB Garamond" w:eastAsia="EB Garamond" w:cs="EB Garamond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EB Garamond" w:hAnsi="EB Garamond" w:eastAsia="EB Garamond" w:cs="EB Garamond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EB Garamond" w:hAnsi="EB Garamond" w:eastAsia="EB Garamond" w:cs="EB Garamond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EB Garamond" w:hAnsi="EB Garamond" w:eastAsia="EB Garamond" w:cs="EB Garamond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EB Garamond" w:hAnsi="EB Garamond" w:eastAsia="EB Garamond" w:cs="EB Garamond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EB Garamond" w:hAnsi="EB Garamond" w:eastAsia="EB Garamond" w:cs="EB Garamond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EB Garamond" w:hAnsi="EB Garamond" w:eastAsia="EB Garamond" w:cs="EB Garamond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EB Garamond" w:hAnsi="EB Garamond" w:eastAsia="EB Garamond" w:cs="EB Garamond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EB Garamond" w:hAnsi="EB Garamond" w:eastAsia="EB Garamond" w:cs="EB Garamond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EB Garamond" w:hAnsi="EB Garamond" w:eastAsia="EB Garamond" w:cs="EB Garamond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  <w:rFonts w:ascii="EB Garamond" w:hAnsi="EB Garamond" w:eastAsia="EB Garamond" w:cs="EB Garamond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/>
      <w:rFonts w:ascii="EB Garamond" w:hAnsi="EB Garamond" w:eastAsia="EB Garamond" w:cs="EB Garamon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EB Garamond" w:hAnsi="EB Garamond" w:eastAsia="EB Garamond" w:cs="EB Garamond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EB Garamond" w:hAnsi="EB Garamond" w:eastAsia="EB Garamond" w:cs="EB Garamond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EB Garamond" w:hAnsi="EB Garamond" w:eastAsia="EB Garamond" w:cs="EB Garamond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EB Garamond" w:hAnsi="EB Garamond" w:eastAsia="EB Garamond" w:cs="EB Garamond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EB Garamond" w:hAnsi="EB Garamond" w:eastAsia="EB Garamond" w:cs="EB Garamond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EB Garamond" w:hAnsi="EB Garamond" w:eastAsia="EB Garamond" w:cs="EB Garamond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  <w:rFonts w:ascii="EB Garamond" w:hAnsi="EB Garamond" w:eastAsia="EB Garamond" w:cs="EB Garamond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rFonts w:ascii="EB Garamond" w:hAnsi="EB Garamond" w:eastAsia="EB Garamond" w:cs="EB Garamond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rFonts w:ascii="EB Garamond" w:hAnsi="EB Garamond" w:eastAsia="EB Garamond" w:cs="EB Garamon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  <w:rFonts w:ascii="EB Garamond" w:hAnsi="EB Garamond" w:eastAsia="EB Garamond" w:cs="EB Garamon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/>
      <w:rFonts w:ascii="EB Garamond" w:hAnsi="EB Garamond" w:eastAsia="EB Garamond" w:cs="EB Garamon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/>
      <w:rFonts w:ascii="EB Garamond" w:hAnsi="EB Garamond" w:eastAsia="EB Garamond" w:cs="EB Garamond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/>
      <w:rFonts w:ascii="EB Garamond" w:hAnsi="EB Garamond" w:eastAsia="EB Garamond" w:cs="EB Garamon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/>
      <w:u w:val="single"/>
      <w:rFonts w:ascii="EB Garamond" w:hAnsi="EB Garamond" w:eastAsia="EB Garamond" w:cs="EB Garamond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/>
      <w:spacing w:val="5"/>
      <w:u w:val="single"/>
      <w:rFonts w:ascii="EB Garamond" w:hAnsi="EB Garamond" w:eastAsia="EB Garamond" w:cs="EB Garamond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rFonts w:ascii="EB Garamond" w:hAnsi="EB Garamond" w:eastAsia="EB Garamond" w:cs="EB Garamon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EB Garamond" w:hAnsi="EB Garamond" w:eastAsia="EB Garamond" w:cs="EB Garamond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rPr>
      <w:rFonts w:ascii="EB Garamond" w:hAnsi="EB Garamond" w:eastAsia="EB Garamond" w:cs="EB Garamond"/>
    </w:r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rPr>
      <w:rFonts w:ascii="EB Garamond" w:hAnsi="EB Garamond" w:eastAsia="EB Garamond" w:cs="EB Garamond"/>
    </w:r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rPr>
      <w:rFonts w:ascii="EB Garamond" w:hAnsi="EB Garamond" w:eastAsia="EB Garamond" w:cs="EB Garamond"/>
    </w:r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rPr>
      <w:rFonts w:ascii="EB Garamond" w:hAnsi="EB Garamond" w:eastAsia="EB Garamond" w:cs="EB Garamond"/>
    </w:r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rPr>
      <w:rFonts w:ascii="EB Garamond" w:hAnsi="EB Garamond" w:eastAsia="EB Garamond" w:cs="EB Garamond"/>
    </w:r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rPr>
      <w:rFonts w:ascii="EB Garamond" w:hAnsi="EB Garamond" w:eastAsia="EB Garamond" w:cs="EB Garamond"/>
    </w:r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rPr>
      <w:rFonts w:ascii="EB Garamond" w:hAnsi="EB Garamond" w:eastAsia="EB Garamond" w:cs="EB Garamond"/>
    </w:r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rPr>
      <w:rFonts w:ascii="EB Garamond" w:hAnsi="EB Garamond" w:eastAsia="EB Garamond" w:cs="EB Garamond"/>
    </w:r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  <w:rPr>
      <w:rFonts w:ascii="EB Garamond" w:hAnsi="EB Garamond" w:eastAsia="EB Garamond" w:cs="EB Garamond"/>
    </w:r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  <w:rPr>
      <w:rFonts w:ascii="EB Garamond" w:hAnsi="EB Garamond" w:eastAsia="EB Garamond" w:cs="EB Garamond"/>
    </w:r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  <w:rPr>
      <w:rFonts w:ascii="EB Garamond" w:hAnsi="EB Garamond" w:eastAsia="EB Garamond" w:cs="EB Garamond"/>
    </w:r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  <w:rPr>
      <w:rFonts w:ascii="EB Garamond" w:hAnsi="EB Garamond" w:eastAsia="EB Garamond" w:cs="EB Garamond"/>
    </w:r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  <w:rPr>
      <w:rFonts w:ascii="EB Garamond" w:hAnsi="EB Garamond" w:eastAsia="EB Garamond" w:cs="EB Garamond"/>
    </w:r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  <w:rPr>
      <w:rFonts w:ascii="EB Garamond" w:hAnsi="EB Garamond" w:eastAsia="EB Garamond" w:cs="EB Garamond"/>
    </w:r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  <w:rPr>
      <w:rFonts w:ascii="EB Garamond" w:hAnsi="EB Garamond" w:eastAsia="EB Garamond" w:cs="EB Garamond"/>
    </w:r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rFonts w:ascii="EB Garamond" w:hAnsi="EB Garamond" w:eastAsia="EB Garamond" w:cs="EB Garamond"/>
    </w:r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rPr>
      <w:rFonts w:ascii="EB Garamond" w:hAnsi="EB Garamond" w:eastAsia="EB Garamond" w:cs="EB Garamond"/>
    </w:r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rPr>
      <w:rFonts w:ascii="EB Garamond" w:hAnsi="EB Garamond" w:eastAsia="EB Garamond" w:cs="EB Garamond"/>
    </w:r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rPr>
      <w:rFonts w:ascii="EB Garamond" w:hAnsi="EB Garamond" w:eastAsia="EB Garamond" w:cs="EB Garamond"/>
    </w:r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rPr>
      <w:rFonts w:ascii="EB Garamond" w:hAnsi="EB Garamond" w:eastAsia="EB Garamond" w:cs="EB Garamond"/>
    </w:r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rPr>
      <w:rFonts w:ascii="EB Garamond" w:hAnsi="EB Garamond" w:eastAsia="EB Garamond" w:cs="EB Garamond"/>
    </w:r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rPr>
      <w:rFonts w:ascii="EB Garamond" w:hAnsi="EB Garamond" w:eastAsia="EB Garamond" w:cs="EB Garamond"/>
    </w:r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rPr>
      <w:rFonts w:ascii="EB Garamond" w:hAnsi="EB Garamond" w:eastAsia="EB Garamond" w:cs="EB Garamond"/>
    </w:r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  <w:rPr>
      <w:rFonts w:ascii="EB Garamond" w:hAnsi="EB Garamond" w:eastAsia="EB Garamond" w:cs="EB Garamond"/>
    </w:r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  <w:rPr>
      <w:rFonts w:ascii="EB Garamond" w:hAnsi="EB Garamond" w:eastAsia="EB Garamond" w:cs="EB Garamond"/>
    </w:r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  <w:rPr>
      <w:rFonts w:ascii="EB Garamond" w:hAnsi="EB Garamond" w:eastAsia="EB Garamond" w:cs="EB Garamond"/>
    </w:r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  <w:rPr>
      <w:rFonts w:ascii="EB Garamond" w:hAnsi="EB Garamond" w:eastAsia="EB Garamond" w:cs="EB Garamond"/>
    </w:r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  <w:rPr>
      <w:rFonts w:ascii="EB Garamond" w:hAnsi="EB Garamond" w:eastAsia="EB Garamond" w:cs="EB Garamond"/>
    </w:r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  <w:rPr>
      <w:rFonts w:ascii="EB Garamond" w:hAnsi="EB Garamond" w:eastAsia="EB Garamond" w:cs="EB Garamond"/>
    </w:r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  <w:rPr>
      <w:rFonts w:ascii="EB Garamond" w:hAnsi="EB Garamond" w:eastAsia="EB Garamond" w:cs="EB Garamond"/>
    </w:r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99999" w:themeFill="text1" w:themeFillTint="66"/>
      </w:tcPr>
    </w:tblStylePr>
    <w:tblStylePr w:type="firstCol">
      <w:rPr>
        <w:color w:val="FFFFFF"/>
      </w:rPr>
      <w:tblPr/>
      <w:tcPr>
        <w:shd w:val="clear" w:color="auto" w:fill="000000" w:themeFill="text1" w:themeFillShade="BF"/>
      </w:tcPr>
    </w:tblStylePr>
    <w:tblStylePr w:type="lastCol">
      <w:rPr>
        <w:color w:val="FFFFFF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/>
      <w:rFonts w:ascii="EB Garamond" w:hAnsi="EB Garamond" w:eastAsia="EB Garamond" w:cs="EB Garamond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EB Garamond" w:hAnsi="EB Garamond" w:eastAsia="EB Garamond" w:cs="EB Garamond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EB Garamond" w:hAnsi="EB Garamond" w:eastAsia="EB Garamond" w:cs="EB Garamond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EB Garamond" w:hAnsi="EB Garamond" w:eastAsia="EB Garamond" w:cs="EB Garamond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EB Garamond" w:hAnsi="EB Garamond" w:eastAsia="EB Garamond" w:cs="EB Garamond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EB Garamond" w:hAnsi="EB Garamond" w:eastAsia="EB Garamond" w:cs="EB Garamond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EB Garamond" w:hAnsi="EB Garamond" w:eastAsia="EB Garamond" w:cs="EB Garamond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EB Garamond" w:hAnsi="EB Garamond" w:eastAsia="EB Garamond" w:cs="EB Garamond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EB Garamond" w:hAnsi="EB Garamond" w:eastAsia="EB Garamond" w:cs="EB Garamond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EB Garamond" w:hAnsi="EB Garamond" w:eastAsia="EB Garamond" w:cs="EB Garamond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EB Garamond" w:hAnsi="EB Garamond" w:eastAsia="EB Garamond" w:cs="EB Garamond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EB Garamond" w:hAnsi="EB Garamond" w:eastAsia="EB Garamond" w:cs="EB Garamond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EB Garamond" w:hAnsi="EB Garamond" w:eastAsia="EB Garamond" w:cs="EB Garamond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EB Garamond" w:hAnsi="EB Garamond" w:eastAsia="EB Garamond" w:cs="EB Garamond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EB Garamond" w:hAnsi="EB Garamond" w:eastAsia="EB Garamond" w:cs="EB Garamond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EB Garamond" w:hAnsi="EB Garamond" w:eastAsia="EB Garamond" w:cs="EB Garamond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EB Garamond" w:hAnsi="EB Garamond" w:eastAsia="EB Garamond" w:cs="EB Garamond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EB Garamond" w:hAnsi="EB Garamond" w:eastAsia="EB Garamond" w:cs="EB Garamond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EB Garamond" w:hAnsi="EB Garamond" w:eastAsia="EB Garamond" w:cs="EB Garamond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EB Garamond" w:hAnsi="EB Garamond" w:eastAsia="EB Garamond" w:cs="EB Garamond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EB Garamond" w:hAnsi="EB Garamond" w:eastAsia="EB Garamond" w:cs="EB Garamond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EB Garamond" w:hAnsi="EB Garamond" w:eastAsia="EB Garamond" w:cs="EB Garamond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EB Garamond" w:hAnsi="EB Garamond" w:eastAsia="EB Garamond" w:cs="EB Garamond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EB Garamond" w:hAnsi="EB Garamond" w:eastAsia="EB Garamond" w:cs="EB Garamond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EB Garamond" w:hAnsi="EB Garamond" w:eastAsia="EB Garamond" w:cs="EB Garamond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EB Garamond" w:hAnsi="EB Garamond" w:eastAsia="EB Garamond" w:cs="EB Garamond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EB Garamond" w:hAnsi="EB Garamond" w:eastAsia="EB Garamond" w:cs="EB Garamond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EB Garamond" w:hAnsi="EB Garamond" w:eastAsia="EB Garamond" w:cs="EB Garamond"/>
        <w:b/>
        <w:bCs/>
      </w:rPr>
    </w:tblStylePr>
    <w:tblStylePr w:type="lastCol">
      <w:rPr>
        <w:rFonts w:ascii="EB Garamond" w:hAnsi="EB Garamond" w:eastAsia="EB Garamond" w:cs="EB Garamond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EB Garamond" w:hAnsi="EB Garamond" w:eastAsia="EB Garamond" w:cs="EB Garamond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EB Garamond" w:hAnsi="EB Garamond" w:eastAsia="EB Garamond" w:cs="EB Garamond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99999" w:themeFill="text1" w:themeFillTint="66"/>
      </w:tcPr>
    </w:tblStylePr>
    <w:tblStylePr w:type="firstCol">
      <w:rPr>
        <w:color w:val="FFFFFF"/>
      </w:rPr>
      <w:tblPr/>
      <w:tcPr>
        <w:shd w:val="clear" w:color="auto" w:fill="000000" w:themeFill="text1" w:themeFillShade="BF"/>
      </w:tcPr>
    </w:tblStylePr>
    <w:tblStylePr w:type="lastCol">
      <w:rPr>
        <w:color w:val="FFFFFF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en/2050/resources/" TargetMode="Externa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EBGaramond-Regular.odttf"/><Relationship Id="rId2" Type="http://schemas.openxmlformats.org/officeDocument/2006/relationships/font" Target="fonts/EBGaramond-Bold.odttf"/><Relationship Id="rId3" Type="http://schemas.openxmlformats.org/officeDocument/2006/relationships/font" Target="fonts/EBGaramond-Italic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EB Garamond"/>
        <a:ea typeface="EB Garamond"/>
        <a:cs typeface="EB Garamond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EB Garamond"/>
        <a:ea typeface="EB Garamond"/>
        <a:cs typeface="EB Garamond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Topic Map</dc:title>
  <dc:subject>2050 Resource version EN-US-R2.3 | LETTER</dc:subject>
  <dc:creator>Marco De Prosperis</dc:creator>
  <cp:keywords>2050, EN-US-R2.3, July 2026 documentary snapshot, revised English interior</cp:keywords>
  <dc:description>EN-US-R2.3 resources verified against the English V51.2 interior. This release updates version labels and release documentation; substantive resource text is unchanged.</dc:description>
  <cp:lastModifiedBy>Corner Italiano LLC</cp:lastModifiedBy>
  <cp:revision>2</cp:revision>
  <dcterms:created xsi:type="dcterms:W3CDTF">2013-12-23T23:15:00Z</dcterms:created>
  <dcterms:modified xsi:type="dcterms:W3CDTF">2026-09-10T15:55:33Z</dcterms:modified>
  <cp:category/>
</cp:coreProperties>
</file>