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Default Extension="odttf" ContentType="application/vnd.openxmlformats-officedocument.obfuscatedFont"/>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line="240" w:lineRule="auto"/>
        <w:jc w:val="center"/>
      </w:pPr>
      <w:r>
        <w:drawing>
          <wp:inline xmlns:a="http://schemas.openxmlformats.org/drawingml/2006/main" xmlns:pic="http://schemas.openxmlformats.org/drawingml/2006/picture">
            <wp:extent cx="1508760" cy="1005840"/>
            <wp:docPr id="1" name="Picture 1" descr="Corner Italiano editorial logo" title="Corner Italiano"/>
            <wp:cNvGraphicFramePr>
              <a:graphicFrameLocks noChangeAspect="1"/>
            </wp:cNvGraphicFramePr>
            <a:graphic>
              <a:graphicData uri="http://schemas.openxmlformats.org/drawingml/2006/picture">
                <pic:pic>
                  <pic:nvPicPr>
                    <pic:cNvPr id="0" name="corner-italiano-logo.png"/>
                    <pic:cNvPicPr/>
                  </pic:nvPicPr>
                  <pic:blipFill>
                    <a:blip r:embed="rId12"/>
                    <a:stretch>
                      <a:fillRect/>
                    </a:stretch>
                  </pic:blipFill>
                  <pic:spPr>
                    <a:xfrm>
                      <a:off x="0" y="0"/>
                      <a:ext cx="1508760" cy="1005840"/>
                    </a:xfrm>
                    <a:prstGeom prst="rect"/>
                  </pic:spPr>
                </pic:pic>
              </a:graphicData>
            </a:graphic>
          </wp:inline>
        </w:drawing>
        <w:rPr>
          <w:rFonts w:ascii="EB Garamond" w:hAnsi="EB Garamond" w:eastAsia="EB Garamond" w:cs="EB Garamond"/>
          <w:sz w:val="21"/>
          <w:szCs w:val="21"/>
        </w:rPr>
      </w:r>
    </w:p>
    <w:p>
      <w:pPr>
        <w:spacing w:before="520" w:after="160" w:line="270" w:lineRule="exact"/>
        <w:jc w:val="center"/>
      </w:pPr>
      <w:r>
        <w:rPr>
          <w:rFonts w:ascii="EB Garamond" w:hAnsi="EB Garamond" w:eastAsia="EB Garamond" w:cs="EB Garamond"/>
          <w:b/>
          <w:color w:val="B04A35"/>
          <w:sz w:val="21"/>
          <w:szCs w:val="21"/>
        </w:rPr>
        <w:t>CORNER ITALIANO  |  OFFICIAL RESOURCES</w:t>
      </w:r>
    </w:p>
    <w:p>
      <w:pPr>
        <w:pStyle w:val="Title"/>
        <w:jc w:val="center"/>
        <w:spacing w:line="640" w:lineRule="exact"/>
      </w:pPr>
      <w:r>
        <w:rPr>
          <w:rFonts w:ascii="EB Garamond" w:hAnsi="EB Garamond" w:eastAsia="EB Garamond" w:cs="EB Garamond"/>
          <w:b/>
          <w:color w:val="183445"/>
          <w:sz w:val="56"/>
          <w:szCs w:val="56"/>
        </w:rPr>
        <w:t>Searchable Bibliography</w:t>
      </w:r>
    </w:p>
    <w:p>
      <w:pPr>
        <w:pStyle w:val="Subtitle"/>
        <w:jc w:val="center"/>
        <w:spacing w:line="320" w:lineRule="exact"/>
      </w:pPr>
      <w:r>
        <w:rPr>
          <w:rFonts w:ascii="EB Garamond" w:hAnsi="EB Garamond" w:eastAsia="EB Garamond" w:cs="EB Garamond"/>
          <w:color w:val="5A686F"/>
          <w:sz w:val="26"/>
          <w:szCs w:val="26"/>
        </w:rPr>
        <w:t>Documentary sources with stable codes and active links</w:t>
      </w:r>
    </w:p>
    <w:p>
      <w:pPr>
        <w:spacing w:before="440" w:line="270" w:lineRule="exact"/>
        <w:jc w:val="center"/>
      </w:pPr>
      <w:r>
        <w:rPr>
          <w:rFonts w:ascii="EB Garamond" w:hAnsi="EB Garamond" w:eastAsia="EB Garamond" w:cs="EB Garamond"/>
          <w:b/>
          <w:color w:val="B04A35"/>
          <w:sz w:val="21"/>
          <w:szCs w:val="21"/>
        </w:rPr>
        <w:t>ENGLISH-EDITION SNAPSHOT</w:t>
      </w:r>
    </w:p>
    <w:p>
      <w:pPr>
        <w:jc w:val="center"/>
        <w:spacing w:line="270" w:lineRule="exact"/>
      </w:pPr>
      <w:r>
        <w:rPr>
          <w:rFonts w:ascii="EB Garamond" w:hAnsi="EB Garamond" w:eastAsia="EB Garamond" w:cs="EB Garamond"/>
          <w:color w:val="183445"/>
          <w:sz w:val="21"/>
          <w:szCs w:val="21"/>
        </w:rPr>
        <w:t>Aligned with the revised English interior · Documentary snapshot July 2026 · Resource version EN-US-R2.3</w:t>
      </w:r>
    </w:p>
    <w:p>
      <w:pPr>
        <w:spacing w:before="360" w:line="270" w:lineRule="exact"/>
        <w:jc w:val="center"/>
      </w:pPr>
      <w:hyperlink r:id="rId13">
        <w:r>
          <w:rPr>
            <w:rFonts w:ascii="EB Garamond" w:hAnsi="EB Garamond" w:eastAsia="EB Garamond" w:cs="EB Garamond"/>
            <w:color w:val="183445"/>
            <w:u w:val="single"/>
            <w:sz w:val="21"/>
            <w:szCs w:val="21"/>
          </w:rPr>
          <w:t>https://www.corneritaliano.com/en/2050/resources/</w:t>
        </w:r>
      </w:hyperlink>
    </w:p>
    <w:p>
      <w:r>
        <w:br w:type="page"/>
        <w:rPr>
          <w:rFonts w:ascii="EB Garamond" w:hAnsi="EB Garamond" w:eastAsia="EB Garamond" w:cs="EB Garamond"/>
          <w:sz w:val="21"/>
          <w:szCs w:val="21"/>
        </w:rPr>
      </w:r>
      <w:pPr/>
    </w:p>
    <w:tbl>
      <w:tblPr>
        <w:tblW w:type="dxa" w:w="10224"/>
        <w:jc w:val="left"/>
        <w:tblLayout w:type="fixed"/>
        <w:tblLook w:firstColumn="1" w:firstRow="1" w:lastColumn="0" w:lastRow="0" w:noHBand="0" w:noVBand="1" w:val="04A0"/>
        <w:tblInd w:w="150" w:type="dxa"/>
        <w:tblBorders>
          <w:top w:val="single" w:sz="7" w:space="0" w:color="B54B2A"/>
          <w:left w:val="single" w:sz="7" w:space="0" w:color="B54B2A"/>
          <w:bottom w:val="single" w:sz="7" w:space="0" w:color="B54B2A"/>
          <w:right w:val="single" w:sz="7" w:space="0" w:color="B54B2A"/>
          <w:insideH w:val="single" w:sz="7" w:space="0" w:color="B54B2A"/>
          <w:insideV w:val="single" w:sz="7" w:space="0" w:color="B54B2A"/>
        </w:tblBorders>
      </w:tblPr>
      <w:tblGrid>
        <w:gridCol w:w="10224"/>
      </w:tblGrid>
      <w:tr>
        <w:trPr>
          <w:cantSplit/>
        </w:trPr>
        <w:tc>
          <w:tcPr>
            <w:tcW w:type="dxa" w:w="10224"/>
            <w:shd w:fill="F7E7E0"/>
            <w:tcMar>
              <w:top w:w="120" w:type="dxa"/>
              <w:start w:w="150" w:type="dxa"/>
              <w:bottom w:w="120" w:type="dxa"/>
              <w:end w:w="150" w:type="dxa"/>
            </w:tcMar>
          </w:tcPr>
          <w:p>
            <w:pPr>
              <w:spacing w:after="40" w:line="210" w:lineRule="exact"/>
            </w:pPr>
            <w:r>
              <w:rPr>
                <w:rFonts w:ascii="EB Garamond" w:hAnsi="EB Garamond" w:eastAsia="EB Garamond" w:cs="EB Garamond"/>
                <w:b/>
                <w:color w:val="B04A35"/>
                <w:sz w:val="17"/>
                <w:szCs w:val="17"/>
              </w:rPr>
              <w:t xml:space="preserve">CRITERION  </w:t>
            </w:r>
            <w:r>
              <w:rPr>
                <w:rFonts w:ascii="EB Garamond" w:hAnsi="EB Garamond" w:eastAsia="EB Garamond" w:cs="EB Garamond"/>
                <w:color w:val="1F2D33"/>
                <w:sz w:val="17"/>
                <w:szCs w:val="17"/>
              </w:rPr>
              <w:t>This collection links the revised English interior’s bibliography to stable source codes. Each entry identifies its Book key and the notes that cite it. Entries used only for the timeline or other resource context are marked separately. Source-type qualifiers distinguish research evidence from other documentary material.</w:t>
            </w:r>
          </w:p>
        </w:tc>
      </w:tr>
    </w:tbl>
    <w:p>
      <w:pPr>
        <w:spacing w:after="0"/>
      </w:pPr>
    </w:p>
    <w:p>
      <w:pPr>
        <w:pStyle w:val="Heading1"/>
        <w:spacing w:line="460" w:lineRule="exact"/>
      </w:pPr>
      <w:r>
        <w:t>History of Artificial Intelligence and Networks</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[SRC-TURING-1950] </w:t>
      </w:r>
      <w:r>
        <w:rPr>
          <w:rFonts w:ascii="EB Garamond" w:hAnsi="EB Garamond" w:eastAsia="EB Garamond" w:cs="EB Garamond"/>
          <w:color w:val="1F2D33"/>
          <w:sz w:val="21"/>
          <w:b w:val="0"/>
          <w:bCs w:val="0"/>
          <w:i w:val="0"/>
          <w:iCs w:val="0"/>
          <w:szCs w:val="21"/>
        </w:rPr>
        <w:t xml:space="preserve">Turing, Alan M. 1950. “Computing Machinery and Intelligence.” </w:t>
      </w:r>
      <w:r>
        <w:rPr>
          <w:rFonts w:ascii="EB Garamond" w:hAnsi="EB Garamond" w:eastAsia="EB Garamond" w:cs="EB Garamond"/>
          <w:color w:val="1F2D33"/>
          <w:sz w:val="21"/>
          <w:b w:val="0"/>
          <w:bCs w:val="0"/>
          <w:i w:val="1"/>
          <w:iCs w:val="1"/>
          <w:szCs w:val="21"/>
        </w:rPr>
        <w:t xml:space="preserve">Mind</w:t>
      </w:r>
      <w:r>
        <w:rPr>
          <w:rFonts w:ascii="EB Garamond" w:hAnsi="EB Garamond" w:eastAsia="EB Garamond" w:cs="EB Garamond"/>
          <w:color w:val="1F2D33"/>
          <w:sz w:val="21"/>
          <w:b w:val="0"/>
          <w:bCs w:val="0"/>
          <w:i w:val="0"/>
          <w:iCs w:val="0"/>
          <w:szCs w:val="21"/>
        </w:rPr>
        <w:t xml:space="preserve"> 59 (236): 433–460. </w:t>
      </w:r>
      <w:hyperlink r:id="rId110">
        <w:r>
          <w:rPr>
            <w:rFonts w:ascii="EB Garamond" w:hAnsi="EB Garamond" w:eastAsia="EB Garamond" w:cs="EB Garamond"/>
            <w:color w:val="1F2D33"/>
            <w:sz w:val="21"/>
            <w:b w:val="0"/>
            <w:bCs w:val="0"/>
            <w:i w:val="0"/>
            <w:iCs w:val="0"/>
            <w:rStyle w:val="Hyperlink"/>
            <w:szCs w:val="21"/>
          </w:rPr>
          <w:t xml:space="preserve">https://doi.org/10.1093/mind/LIX.236.433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Turing 1950. Cited in: Note 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[SRC-DARTMOUTH-1955] </w:t>
      </w:r>
      <w:r>
        <w:rPr>
          <w:rFonts w:ascii="EB Garamond" w:hAnsi="EB Garamond" w:eastAsia="EB Garamond" w:cs="EB Garamond"/>
          <w:color w:val="1F2D33"/>
          <w:sz w:val="21"/>
          <w:b w:val="0"/>
          <w:bCs w:val="0"/>
          <w:i w:val="0"/>
          <w:iCs w:val="0"/>
          <w:szCs w:val="21"/>
        </w:rPr>
        <w:t xml:space="preserve">McCarthy, John, Marvin L. Minsky, Nathaniel Rochester, and Claude E. Shannon. 2006. “A Proposal for the Dartmouth Summer Research Project on Artificial Intelligence, August 31, 1955.” </w:t>
      </w:r>
      <w:r>
        <w:rPr>
          <w:rFonts w:ascii="EB Garamond" w:hAnsi="EB Garamond" w:eastAsia="EB Garamond" w:cs="EB Garamond"/>
          <w:color w:val="1F2D33"/>
          <w:sz w:val="21"/>
          <w:b w:val="0"/>
          <w:bCs w:val="0"/>
          <w:i w:val="1"/>
          <w:iCs w:val="1"/>
          <w:szCs w:val="21"/>
        </w:rPr>
        <w:t xml:space="preserve">AI Magazine</w:t>
      </w:r>
      <w:r>
        <w:rPr>
          <w:rFonts w:ascii="EB Garamond" w:hAnsi="EB Garamond" w:eastAsia="EB Garamond" w:cs="EB Garamond"/>
          <w:color w:val="1F2D33"/>
          <w:sz w:val="21"/>
          <w:b w:val="0"/>
          <w:bCs w:val="0"/>
          <w:i w:val="0"/>
          <w:iCs w:val="0"/>
          <w:szCs w:val="21"/>
        </w:rPr>
        <w:t xml:space="preserve"> 27 (4): 12–14. </w:t>
      </w:r>
      <w:hyperlink r:id="rId111">
        <w:r>
          <w:rPr>
            <w:rFonts w:ascii="EB Garamond" w:hAnsi="EB Garamond" w:eastAsia="EB Garamond" w:cs="EB Garamond"/>
            <w:color w:val="1F2D33"/>
            <w:sz w:val="21"/>
            <w:b w:val="0"/>
            <w:bCs w:val="0"/>
            <w:i w:val="0"/>
            <w:iCs w:val="0"/>
            <w:rStyle w:val="Hyperlink"/>
            <w:szCs w:val="21"/>
          </w:rPr>
          <w:t xml:space="preserve">https://doi.org/10.1609/aimag.v27i4.1904</w:t>
        </w:r>
      </w:hyperlink>
      <w:r>
        <w:rPr>
          <w:rFonts w:ascii="EB Garamond" w:hAnsi="EB Garamond" w:eastAsia="EB Garamond" w:cs="EB Garamond"/>
          <w:color w:val="1F2D33"/>
          <w:sz w:val="21"/>
          <w:b w:val="0"/>
          <w:bCs w:val="0"/>
          <w:i w:val="0"/>
          <w:iCs w:val="0"/>
          <w:szCs w:val="21"/>
        </w:rPr>
        <w:t xml:space="preserve">. Original proposal dated August 31, 1955; excerpt republished in 2006.</w:t>
      </w:r>
      <w:r>
        <w:rPr>
          <w:rFonts w:ascii="EB Garamond" w:hAnsi="EB Garamond" w:eastAsia="EB Garamond" w:cs="EB Garamond"/>
          <w:color w:val="1F2D33"/>
          <w:sz w:val="21"/>
          <w:b w:val="0"/>
          <w:bCs w:val="0"/>
          <w:i w:val="0"/>
          <w:iCs w:val="0"/>
          <w:szCs w:val="21"/>
        </w:rPr>
        <w:t xml:space="preserve"> Primary historical source; the book cites the 2006 reprint. Original proposal archive: </w:t>
      </w:r>
      <w:hyperlink r:id="rId112">
        <w:r>
          <w:rPr>
            <w:rFonts w:ascii="EB Garamond" w:hAnsi="EB Garamond" w:eastAsia="EB Garamond" w:cs="EB Garamond"/>
            <w:color w:val="1F2D33"/>
            <w:sz w:val="21"/>
            <w:b w:val="0"/>
            <w:bCs w:val="0"/>
            <w:i w:val="0"/>
            <w:iCs w:val="0"/>
            <w:rStyle w:val="Hyperlink"/>
            <w:szCs w:val="21"/>
          </w:rPr>
          <w:t xml:space="preserve">https://jmc.stanford.edu/articles/dartmouth/dartmouth.pdf</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McCarthy et al. 2006. Cited in: Note 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[SRC-ROSENBLATT-1958] </w:t>
      </w:r>
      <w:r>
        <w:rPr>
          <w:rFonts w:ascii="EB Garamond" w:hAnsi="EB Garamond" w:eastAsia="EB Garamond" w:cs="EB Garamond"/>
          <w:color w:val="1F2D33"/>
          <w:sz w:val="21"/>
          <w:b w:val="0"/>
          <w:bCs w:val="0"/>
          <w:i w:val="0"/>
          <w:iCs w:val="0"/>
          <w:szCs w:val="21"/>
        </w:rPr>
        <w:t xml:space="preserve">Rosenblatt, Frank. 1958. “The Perceptron: A Probabilistic Model for Information Storage and Organization in the Brain.” </w:t>
      </w:r>
      <w:r>
        <w:rPr>
          <w:rFonts w:ascii="EB Garamond" w:hAnsi="EB Garamond" w:eastAsia="EB Garamond" w:cs="EB Garamond"/>
          <w:color w:val="1F2D33"/>
          <w:sz w:val="21"/>
          <w:b w:val="0"/>
          <w:bCs w:val="0"/>
          <w:i w:val="1"/>
          <w:iCs w:val="1"/>
          <w:szCs w:val="21"/>
        </w:rPr>
        <w:t xml:space="preserve">Psychological Review</w:t>
      </w:r>
      <w:r>
        <w:rPr>
          <w:rFonts w:ascii="EB Garamond" w:hAnsi="EB Garamond" w:eastAsia="EB Garamond" w:cs="EB Garamond"/>
          <w:color w:val="1F2D33"/>
          <w:sz w:val="21"/>
          <w:b w:val="0"/>
          <w:bCs w:val="0"/>
          <w:i w:val="0"/>
          <w:iCs w:val="0"/>
          <w:szCs w:val="21"/>
        </w:rPr>
        <w:t xml:space="preserve"> 65 (6): 386–408. </w:t>
      </w:r>
      <w:hyperlink r:id="rId113">
        <w:r>
          <w:rPr>
            <w:rFonts w:ascii="EB Garamond" w:hAnsi="EB Garamond" w:eastAsia="EB Garamond" w:cs="EB Garamond"/>
            <w:color w:val="1F2D33"/>
            <w:sz w:val="21"/>
            <w:b w:val="0"/>
            <w:bCs w:val="0"/>
            <w:i w:val="0"/>
            <w:iCs w:val="0"/>
            <w:rStyle w:val="Hyperlink"/>
            <w:szCs w:val="21"/>
          </w:rPr>
          <w:t xml:space="preserve">https://doi.org/10.1037/h0042519</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Rosenblatt 1958. Cited in: Note 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[SRC-MINSKY-PAPERT-1969] </w:t>
      </w:r>
      <w:r>
        <w:rPr>
          <w:rFonts w:ascii="EB Garamond" w:hAnsi="EB Garamond" w:eastAsia="EB Garamond" w:cs="EB Garamond"/>
          <w:color w:val="1F2D33"/>
          <w:sz w:val="21"/>
          <w:b w:val="0"/>
          <w:bCs w:val="0"/>
          <w:i w:val="0"/>
          <w:iCs w:val="0"/>
          <w:szCs w:val="21"/>
        </w:rPr>
        <w:t xml:space="preserve">Minsky, Marvin, and Seymour A. Papert. 1987. </w:t>
      </w:r>
      <w:r>
        <w:rPr>
          <w:rFonts w:ascii="EB Garamond" w:hAnsi="EB Garamond" w:eastAsia="EB Garamond" w:cs="EB Garamond"/>
          <w:color w:val="1F2D33"/>
          <w:sz w:val="21"/>
          <w:b w:val="0"/>
          <w:bCs w:val="0"/>
          <w:i w:val="1"/>
          <w:iCs w:val="1"/>
          <w:szCs w:val="21"/>
        </w:rPr>
        <w:t xml:space="preserve">Perceptrons: An Introduction to Computational Geometry</w:t>
      </w:r>
      <w:r>
        <w:rPr>
          <w:rFonts w:ascii="EB Garamond" w:hAnsi="EB Garamond" w:eastAsia="EB Garamond" w:cs="EB Garamond"/>
          <w:color w:val="1F2D33"/>
          <w:sz w:val="21"/>
          <w:b w:val="0"/>
          <w:bCs w:val="0"/>
          <w:i w:val="0"/>
          <w:iCs w:val="0"/>
          <w:szCs w:val="21"/>
        </w:rPr>
        <w:t xml:space="preserve">. Expanded ed. MIT Press. First published 1969. </w:t>
      </w:r>
      <w:hyperlink r:id="rId114">
        <w:r>
          <w:rPr>
            <w:rFonts w:ascii="EB Garamond" w:hAnsi="EB Garamond" w:eastAsia="EB Garamond" w:cs="EB Garamond"/>
            <w:color w:val="1F2D33"/>
            <w:sz w:val="21"/>
            <w:b w:val="0"/>
            <w:bCs w:val="0"/>
            <w:i w:val="0"/>
            <w:iCs w:val="0"/>
            <w:rStyle w:val="Hyperlink"/>
            <w:szCs w:val="21"/>
          </w:rPr>
          <w:t xml:space="preserve">https://mitpress.mit.edu/9780262631112/perceptrons/</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 the publisher’s page refers to the expanded edition.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Minsky and Papert 1987. Cited in: Note 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[SRC-RHW-1986] </w:t>
      </w:r>
      <w:r>
        <w:rPr>
          <w:rFonts w:ascii="EB Garamond" w:hAnsi="EB Garamond" w:eastAsia="EB Garamond" w:cs="EB Garamond"/>
          <w:color w:val="1F2D33"/>
          <w:sz w:val="21"/>
          <w:b w:val="0"/>
          <w:bCs w:val="0"/>
          <w:i w:val="0"/>
          <w:iCs w:val="0"/>
          <w:szCs w:val="21"/>
        </w:rPr>
        <w:t xml:space="preserve">Rumelhart, David E., Geoffrey E. Hinton, and Ronald J. Williams. 1986. “Learning Representations by Back-Propagating Errors.” </w:t>
      </w:r>
      <w:r>
        <w:rPr>
          <w:rFonts w:ascii="EB Garamond" w:hAnsi="EB Garamond" w:eastAsia="EB Garamond" w:cs="EB Garamond"/>
          <w:color w:val="1F2D33"/>
          <w:sz w:val="21"/>
          <w:b w:val="0"/>
          <w:bCs w:val="0"/>
          <w:i w:val="1"/>
          <w:iCs w:val="1"/>
          <w:szCs w:val="21"/>
        </w:rPr>
        <w:t xml:space="preserve">Nature</w:t>
      </w:r>
      <w:r>
        <w:rPr>
          <w:rFonts w:ascii="EB Garamond" w:hAnsi="EB Garamond" w:eastAsia="EB Garamond" w:cs="EB Garamond"/>
          <w:color w:val="1F2D33"/>
          <w:sz w:val="21"/>
          <w:b w:val="0"/>
          <w:bCs w:val="0"/>
          <w:i w:val="0"/>
          <w:iCs w:val="0"/>
          <w:szCs w:val="21"/>
        </w:rPr>
        <w:t xml:space="preserve"> 323 (6088): 533–536. </w:t>
      </w:r>
      <w:hyperlink r:id="rId115">
        <w:r>
          <w:rPr>
            <w:rFonts w:ascii="EB Garamond" w:hAnsi="EB Garamond" w:eastAsia="EB Garamond" w:cs="EB Garamond"/>
            <w:color w:val="1F2D33"/>
            <w:sz w:val="21"/>
            <w:b w:val="0"/>
            <w:bCs w:val="0"/>
            <w:i w:val="0"/>
            <w:iCs w:val="0"/>
            <w:rStyle w:val="Hyperlink"/>
            <w:szCs w:val="21"/>
          </w:rPr>
          <w:t xml:space="preserve">https://doi.org/10.1038/323533a0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Rumelhart, Hinton, and Williams 1986. Cited in: Note 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[SRC-IBM-DEEPBLUE] </w:t>
      </w:r>
      <w:r>
        <w:rPr>
          <w:rFonts w:ascii="EB Garamond" w:hAnsi="EB Garamond" w:eastAsia="EB Garamond" w:cs="EB Garamond"/>
          <w:color w:val="1F2D33"/>
          <w:sz w:val="21"/>
          <w:b w:val="0"/>
          <w:bCs w:val="0"/>
          <w:i w:val="0"/>
          <w:iCs w:val="0"/>
          <w:szCs w:val="21"/>
        </w:rPr>
        <w:t xml:space="preserve">IBM. n.d. “Deep Blue.” </w:t>
      </w:r>
      <w:hyperlink r:id="rId116">
        <w:r>
          <w:rPr>
            <w:rFonts w:ascii="EB Garamond" w:hAnsi="EB Garamond" w:eastAsia="EB Garamond" w:cs="EB Garamond"/>
            <w:color w:val="1F2D33"/>
            <w:sz w:val="21"/>
            <w:b w:val="0"/>
            <w:bCs w:val="0"/>
            <w:i w:val="0"/>
            <w:iCs w:val="0"/>
            <w:rStyle w:val="Hyperlink"/>
            <w:szCs w:val="21"/>
          </w:rPr>
          <w:t xml:space="preserve">https://www.ibm.com/history/deep-blue</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corporate archive. Accessed: 2026. Historical milestone: 1997.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Body, Ch. 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[SRC-ALEXNET-2012] </w:t>
      </w:r>
      <w:r>
        <w:rPr>
          <w:rFonts w:ascii="EB Garamond" w:hAnsi="EB Garamond" w:eastAsia="EB Garamond" w:cs="EB Garamond"/>
          <w:color w:val="1F2D33"/>
          <w:sz w:val="21"/>
          <w:b w:val="0"/>
          <w:bCs w:val="0"/>
          <w:i w:val="0"/>
          <w:iCs w:val="0"/>
          <w:szCs w:val="21"/>
        </w:rPr>
        <w:t xml:space="preserve">Krizhevsky, Alex, Ilya Sutskever, and Geoffrey E. Hinton. 2012. “ImageNet Classification with Deep Convolutional Neural Networks.” </w:t>
      </w:r>
      <w:r>
        <w:rPr>
          <w:rFonts w:ascii="EB Garamond" w:hAnsi="EB Garamond" w:eastAsia="EB Garamond" w:cs="EB Garamond"/>
          <w:color w:val="1F2D33"/>
          <w:sz w:val="21"/>
          <w:b w:val="0"/>
          <w:bCs w:val="0"/>
          <w:i w:val="1"/>
          <w:iCs w:val="1"/>
          <w:szCs w:val="21"/>
        </w:rPr>
        <w:t xml:space="preserve">Advances in Neural Information Processing Systems</w:t>
      </w:r>
      <w:r>
        <w:rPr>
          <w:rFonts w:ascii="EB Garamond" w:hAnsi="EB Garamond" w:eastAsia="EB Garamond" w:cs="EB Garamond"/>
          <w:color w:val="1F2D33"/>
          <w:sz w:val="21"/>
          <w:b w:val="0"/>
          <w:bCs w:val="0"/>
          <w:i w:val="0"/>
          <w:iCs w:val="0"/>
          <w:szCs w:val="21"/>
        </w:rPr>
        <w:t xml:space="preserve"> 25. </w:t>
      </w:r>
      <w:hyperlink r:id="rId226">
        <w:r>
          <w:rPr>
            <w:rFonts w:ascii="EB Garamond" w:hAnsi="EB Garamond" w:eastAsia="EB Garamond" w:cs="EB Garamond"/>
            <w:color w:val="1F2D33"/>
            <w:sz w:val="21"/>
            <w:b w:val="0"/>
            <w:bCs w:val="0"/>
            <w:i w:val="0"/>
            <w:iCs w:val="0"/>
            <w:rStyle w:val="Hyperlink"/>
            <w:szCs w:val="21"/>
          </w:rPr>
          <w:t xml:space="preserve">https://papers.nips.cc/paper_files/paper/2012/hash/c399862d3b9d6b76c8436e924a68c45b-Abstract.html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 Additional resource links: </w:t>
      </w:r>
      <w:hyperlink r:id="rId117">
        <w:r>
          <w:rPr>
            <w:rFonts w:ascii="EB Garamond" w:hAnsi="EB Garamond" w:eastAsia="EB Garamond" w:cs="EB Garamond"/>
            <w:color w:val="1F2D33"/>
            <w:sz w:val="21"/>
            <w:b w:val="0"/>
            <w:bCs w:val="0"/>
            <w:i w:val="0"/>
            <w:iCs w:val="0"/>
            <w:rStyle w:val="Hyperlink"/>
            <w:szCs w:val="21"/>
          </w:rPr>
          <w:t xml:space="preserve">https://papers.nips.cc/paper/4824-imagenet-classification-with-deep-convolutional-neural-networks</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Krizhevsky, Sutskever, and Hinton 2012. Cited in: Note 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[SRC-TRANSFORMER-2017] </w:t>
      </w:r>
      <w:r>
        <w:rPr>
          <w:rFonts w:ascii="EB Garamond" w:hAnsi="EB Garamond" w:eastAsia="EB Garamond" w:cs="EB Garamond"/>
          <w:color w:val="1F2D33"/>
          <w:sz w:val="21"/>
          <w:b w:val="0"/>
          <w:bCs w:val="0"/>
          <w:i w:val="0"/>
          <w:iCs w:val="0"/>
          <w:szCs w:val="21"/>
        </w:rPr>
        <w:t xml:space="preserve">Vaswani, Ashish, Noam Shazeer, Niki Parmar, Jakob Uszkoreit, Llion Jones, Aidan N. Gomez, Łukasz Kaiser, and Illia Polosukhin. 2017. “Attention Is All You Need.” </w:t>
      </w:r>
      <w:r>
        <w:rPr>
          <w:rFonts w:ascii="EB Garamond" w:hAnsi="EB Garamond" w:eastAsia="EB Garamond" w:cs="EB Garamond"/>
          <w:color w:val="1F2D33"/>
          <w:sz w:val="21"/>
          <w:b w:val="0"/>
          <w:bCs w:val="0"/>
          <w:i w:val="1"/>
          <w:iCs w:val="1"/>
          <w:szCs w:val="21"/>
        </w:rPr>
        <w:t xml:space="preserve">Advances in Neural Information Processing Systems</w:t>
      </w:r>
      <w:r>
        <w:rPr>
          <w:rFonts w:ascii="EB Garamond" w:hAnsi="EB Garamond" w:eastAsia="EB Garamond" w:cs="EB Garamond"/>
          <w:color w:val="1F2D33"/>
          <w:sz w:val="21"/>
          <w:b w:val="0"/>
          <w:bCs w:val="0"/>
          <w:i w:val="0"/>
          <w:iCs w:val="0"/>
          <w:szCs w:val="21"/>
        </w:rPr>
        <w:t xml:space="preserve"> 30. </w:t>
      </w:r>
      <w:hyperlink r:id="rId227">
        <w:r>
          <w:rPr>
            <w:rFonts w:ascii="EB Garamond" w:hAnsi="EB Garamond" w:eastAsia="EB Garamond" w:cs="EB Garamond"/>
            <w:color w:val="1F2D33"/>
            <w:sz w:val="21"/>
            <w:b w:val="0"/>
            <w:bCs w:val="0"/>
            <w:i w:val="0"/>
            <w:iCs w:val="0"/>
            <w:rStyle w:val="Hyperlink"/>
            <w:szCs w:val="21"/>
          </w:rPr>
          <w:t xml:space="preserve">https://papers.nips.cc/paper_files/paper/2017/hash/3f5ee243547dee91fbd053c1c4a845aa-Abstract.html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 Additional resource links: </w:t>
      </w:r>
      <w:hyperlink r:id="rId118">
        <w:r>
          <w:rPr>
            <w:rFonts w:ascii="EB Garamond" w:hAnsi="EB Garamond" w:eastAsia="EB Garamond" w:cs="EB Garamond"/>
            <w:color w:val="1F2D33"/>
            <w:sz w:val="21"/>
            <w:b w:val="0"/>
            <w:bCs w:val="0"/>
            <w:i w:val="0"/>
            <w:iCs w:val="0"/>
            <w:rStyle w:val="Hyperlink"/>
            <w:szCs w:val="21"/>
          </w:rPr>
          <w:t xml:space="preserve">https://arxiv.org/abs/1706.03762</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Vaswani et al. 2017. Cited in: Note 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[SRC-ELIZA-1966] </w:t>
      </w:r>
      <w:r>
        <w:rPr>
          <w:rFonts w:ascii="EB Garamond" w:hAnsi="EB Garamond" w:eastAsia="EB Garamond" w:cs="EB Garamond"/>
          <w:color w:val="1F2D33"/>
          <w:sz w:val="21"/>
          <w:b w:val="0"/>
          <w:bCs w:val="0"/>
          <w:i w:val="0"/>
          <w:iCs w:val="0"/>
          <w:szCs w:val="21"/>
        </w:rPr>
        <w:t xml:space="preserve">Weizenbaum, Joseph. 1966. “ELIZA, a Computer Program for the Study of Natural Language Communication between Man and Machine.” </w:t>
      </w:r>
      <w:r>
        <w:rPr>
          <w:rFonts w:ascii="EB Garamond" w:hAnsi="EB Garamond" w:eastAsia="EB Garamond" w:cs="EB Garamond"/>
          <w:color w:val="1F2D33"/>
          <w:sz w:val="21"/>
          <w:b w:val="0"/>
          <w:bCs w:val="0"/>
          <w:i w:val="1"/>
          <w:iCs w:val="1"/>
          <w:szCs w:val="21"/>
        </w:rPr>
        <w:t xml:space="preserve">Communications of the ACM</w:t>
      </w:r>
      <w:r>
        <w:rPr>
          <w:rFonts w:ascii="EB Garamond" w:hAnsi="EB Garamond" w:eastAsia="EB Garamond" w:cs="EB Garamond"/>
          <w:color w:val="1F2D33"/>
          <w:sz w:val="21"/>
          <w:b w:val="0"/>
          <w:bCs w:val="0"/>
          <w:i w:val="0"/>
          <w:iCs w:val="0"/>
          <w:szCs w:val="21"/>
        </w:rPr>
        <w:t xml:space="preserve"> 9 (1): 36–45. </w:t>
      </w:r>
      <w:hyperlink r:id="rId119">
        <w:r>
          <w:rPr>
            <w:rFonts w:ascii="EB Garamond" w:hAnsi="EB Garamond" w:eastAsia="EB Garamond" w:cs="EB Garamond"/>
            <w:color w:val="1F2D33"/>
            <w:sz w:val="21"/>
            <w:b w:val="0"/>
            <w:bCs w:val="0"/>
            <w:i w:val="0"/>
            <w:iCs w:val="0"/>
            <w:rStyle w:val="Hyperlink"/>
            <w:szCs w:val="21"/>
          </w:rPr>
          <w:t xml:space="preserve">https://doi.org/10.1145/365153.365168</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Weizenbaum 1966. Cited in: Note 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[SRC-OPENAI-CHATGPT] </w:t>
      </w:r>
      <w:r>
        <w:rPr>
          <w:rFonts w:ascii="EB Garamond" w:hAnsi="EB Garamond" w:eastAsia="EB Garamond" w:cs="EB Garamond"/>
          <w:color w:val="1F2D33"/>
          <w:sz w:val="21"/>
          <w:b w:val="0"/>
          <w:bCs w:val="0"/>
          <w:i w:val="0"/>
          <w:iCs w:val="0"/>
          <w:szCs w:val="21"/>
        </w:rPr>
        <w:t xml:space="preserve">OpenAI. 2022. “Introducing ChatGPT.” November 30, 2022. </w:t>
      </w:r>
      <w:hyperlink r:id="rId120">
        <w:r>
          <w:rPr>
            <w:rFonts w:ascii="EB Garamond" w:hAnsi="EB Garamond" w:eastAsia="EB Garamond" w:cs="EB Garamond"/>
            <w:color w:val="1F2D33"/>
            <w:sz w:val="21"/>
            <w:b w:val="0"/>
            <w:bCs w:val="0"/>
            <w:i w:val="0"/>
            <w:iCs w:val="0"/>
            <w:rStyle w:val="Hyperlink"/>
            <w:szCs w:val="21"/>
          </w:rPr>
          <w:t xml:space="preserve">https://openai.com/index/chatgpt/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corporate announcement.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OpenAI 2022. Cited in: Note 6.</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[SRC-DARPA-ARPANET-1969] </w:t>
      </w:r>
      <w:r>
        <w:rPr>
          <w:rFonts w:ascii="EB Garamond" w:hAnsi="EB Garamond" w:eastAsia="EB Garamond" w:cs="EB Garamond"/>
          <w:color w:val="1F2D33"/>
          <w:sz w:val="21"/>
          <w:b w:val="0"/>
          <w:bCs w:val="0"/>
          <w:i w:val="0"/>
          <w:iCs w:val="0"/>
          <w:szCs w:val="21"/>
        </w:rPr>
        <w:t xml:space="preserve">DARPA. n.d. “ARPANET.” </w:t>
      </w:r>
      <w:hyperlink r:id="rId121">
        <w:r>
          <w:rPr>
            <w:rFonts w:ascii="EB Garamond" w:hAnsi="EB Garamond" w:eastAsia="EB Garamond" w:cs="EB Garamond"/>
            <w:color w:val="1F2D33"/>
            <w:sz w:val="21"/>
            <w:b w:val="0"/>
            <w:bCs w:val="0"/>
            <w:i w:val="0"/>
            <w:iCs w:val="0"/>
            <w:rStyle w:val="Hyperlink"/>
            <w:szCs w:val="21"/>
          </w:rPr>
          <w:t xml:space="preserve">https://www.darpa.mil/news/features/arpanet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institutional archive. Accessed: 2026. Historical milestone: 1969.</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[SRC-ISOC-TCPIP-1983] </w:t>
      </w:r>
      <w:r>
        <w:rPr>
          <w:rFonts w:ascii="EB Garamond" w:hAnsi="EB Garamond" w:eastAsia="EB Garamond" w:cs="EB Garamond"/>
          <w:color w:val="1F2D33"/>
          <w:sz w:val="21"/>
          <w:b w:val="0"/>
          <w:bCs w:val="0"/>
          <w:i w:val="0"/>
          <w:iCs w:val="0"/>
          <w:szCs w:val="21"/>
        </w:rPr>
        <w:t xml:space="preserve">Internet Society. 2013. “New Year’s Day Marks 30th Anniversary of Major Milestone for Global Internet.” January 1, 2013. </w:t>
      </w:r>
      <w:hyperlink r:id="rId122">
        <w:r>
          <w:rPr>
            <w:rFonts w:ascii="EB Garamond" w:hAnsi="EB Garamond" w:eastAsia="EB Garamond" w:cs="EB Garamond"/>
            <w:color w:val="1F2D33"/>
            <w:sz w:val="21"/>
            <w:b w:val="0"/>
            <w:bCs w:val="0"/>
            <w:i w:val="0"/>
            <w:iCs w:val="0"/>
            <w:rStyle w:val="Hyperlink"/>
            <w:szCs w:val="21"/>
          </w:rPr>
          <w:t xml:space="preserve">https://www.internetsociety.org/news/press-releases/2013/new-years-day-marks-30th-anniversary-of-major-milestone-for-global-internet/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documentation.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[SRC-CERN-WEB-HISTORY] </w:t>
      </w:r>
      <w:r>
        <w:rPr>
          <w:rFonts w:ascii="EB Garamond" w:hAnsi="EB Garamond" w:eastAsia="EB Garamond" w:cs="EB Garamond"/>
          <w:color w:val="1F2D33"/>
          <w:sz w:val="21"/>
          <w:b w:val="0"/>
          <w:bCs w:val="0"/>
          <w:i w:val="0"/>
          <w:iCs w:val="0"/>
          <w:szCs w:val="21"/>
        </w:rPr>
        <w:t xml:space="preserve">CERN. n.d. “A Short History of the Web.” </w:t>
      </w:r>
      <w:hyperlink r:id="rId123">
        <w:r>
          <w:rPr>
            <w:rFonts w:ascii="EB Garamond" w:hAnsi="EB Garamond" w:eastAsia="EB Garamond" w:cs="EB Garamond"/>
            <w:color w:val="1F2D33"/>
            <w:sz w:val="21"/>
            <w:b w:val="0"/>
            <w:bCs w:val="0"/>
            <w:i w:val="0"/>
            <w:iCs w:val="0"/>
            <w:rStyle w:val="Hyperlink"/>
            <w:szCs w:val="21"/>
          </w:rPr>
          <w:t xml:space="preserve">https://home.cern/science/computing/the-birth-of-the-web/short-history-web/</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institutional archive. Accessed: 2026.</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[SRC-CERN-WEB-1991] </w:t>
      </w:r>
      <w:r>
        <w:rPr>
          <w:rFonts w:ascii="EB Garamond" w:hAnsi="EB Garamond" w:eastAsia="EB Garamond" w:cs="EB Garamond"/>
          <w:color w:val="1F2D33"/>
          <w:sz w:val="21"/>
          <w:b w:val="0"/>
          <w:bCs w:val="0"/>
          <w:i w:val="0"/>
          <w:iCs w:val="0"/>
          <w:szCs w:val="21"/>
        </w:rPr>
        <w:t xml:space="preserve">CERN. 2013. “The Open Internet and the Web.” April 30, 2013. </w:t>
      </w:r>
      <w:hyperlink r:id="rId124">
        <w:r>
          <w:rPr>
            <w:rFonts w:ascii="EB Garamond" w:hAnsi="EB Garamond" w:eastAsia="EB Garamond" w:cs="EB Garamond"/>
            <w:color w:val="1F2D33"/>
            <w:sz w:val="21"/>
            <w:b w:val="0"/>
            <w:bCs w:val="0"/>
            <w:i w:val="0"/>
            <w:iCs w:val="0"/>
            <w:rStyle w:val="Hyperlink"/>
            <w:szCs w:val="21"/>
          </w:rPr>
          <w:t xml:space="preserve">https://home.cern/open-internet-and-web/</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documentation.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[SRC-HOWE-AIHISTORY07] </w:t>
      </w:r>
      <w:r>
        <w:rPr>
          <w:rFonts w:ascii="EB Garamond" w:hAnsi="EB Garamond" w:eastAsia="EB Garamond" w:cs="EB Garamond"/>
          <w:color w:val="1F2D33"/>
          <w:sz w:val="21"/>
          <w:b w:val="0"/>
          <w:bCs w:val="0"/>
          <w:i w:val="0"/>
          <w:iCs w:val="0"/>
          <w:szCs w:val="21"/>
        </w:rPr>
        <w:t xml:space="preserve">Howe, Jim. 2007. “Artificial Intelligence at Edinburgh University: A Perspective.” June 2007. School of Informatics, University of Edinburgh. </w:t>
      </w:r>
      <w:hyperlink r:id="rId203">
        <w:r>
          <w:rPr>
            <w:rFonts w:ascii="EB Garamond" w:hAnsi="EB Garamond" w:eastAsia="EB Garamond" w:cs="EB Garamond"/>
            <w:color w:val="1F2D33"/>
            <w:sz w:val="21"/>
            <w:b w:val="0"/>
            <w:bCs w:val="0"/>
            <w:i w:val="0"/>
            <w:iCs w:val="0"/>
            <w:rStyle w:val="Hyperlink"/>
            <w:szCs w:val="21"/>
          </w:rPr>
          <w:t xml:space="preserve">https://www.inf.ed.ac.uk/about/AIhistory.html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historical account.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Howe 2007. Cited in: Note 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[SRC-MCDERMOTT-AIWINTER85] </w:t>
      </w:r>
      <w:r>
        <w:rPr>
          <w:rFonts w:ascii="EB Garamond" w:hAnsi="EB Garamond" w:eastAsia="EB Garamond" w:cs="EB Garamond"/>
          <w:color w:val="1F2D33"/>
          <w:sz w:val="21"/>
          <w:b w:val="0"/>
          <w:bCs w:val="0"/>
          <w:i w:val="0"/>
          <w:iCs w:val="0"/>
          <w:szCs w:val="21"/>
        </w:rPr>
        <w:t xml:space="preserve">McDermott, Drew, M. Mitchell Waldrop, B. Chandrasekaran, John McDermott, and Roger Schank. 1985. “The Dark Ages of AI: A Panel Discussion at AAAI-84.” </w:t>
      </w:r>
      <w:r>
        <w:rPr>
          <w:rFonts w:ascii="EB Garamond" w:hAnsi="EB Garamond" w:eastAsia="EB Garamond" w:cs="EB Garamond"/>
          <w:color w:val="1F2D33"/>
          <w:sz w:val="21"/>
          <w:b w:val="0"/>
          <w:bCs w:val="0"/>
          <w:i w:val="1"/>
          <w:iCs w:val="1"/>
          <w:szCs w:val="21"/>
        </w:rPr>
        <w:t xml:space="preserve">AI Magazine</w:t>
      </w:r>
      <w:r>
        <w:rPr>
          <w:rFonts w:ascii="EB Garamond" w:hAnsi="EB Garamond" w:eastAsia="EB Garamond" w:cs="EB Garamond"/>
          <w:color w:val="1F2D33"/>
          <w:sz w:val="21"/>
          <w:b w:val="0"/>
          <w:bCs w:val="0"/>
          <w:i w:val="0"/>
          <w:iCs w:val="0"/>
          <w:szCs w:val="21"/>
        </w:rPr>
        <w:t xml:space="preserve"> 6 (3): 122–134. </w:t>
      </w:r>
      <w:hyperlink r:id="rId204">
        <w:r>
          <w:rPr>
            <w:rFonts w:ascii="EB Garamond" w:hAnsi="EB Garamond" w:eastAsia="EB Garamond" w:cs="EB Garamond"/>
            <w:color w:val="1F2D33"/>
            <w:sz w:val="21"/>
            <w:b w:val="0"/>
            <w:bCs w:val="0"/>
            <w:i w:val="0"/>
            <w:iCs w:val="0"/>
            <w:rStyle w:val="Hyperlink"/>
            <w:szCs w:val="21"/>
          </w:rPr>
          <w:t xml:space="preserve">https://doi.org/10.1609/aimag.v6i3.494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historical source, a published panel discussion.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McDermott et al. 1985. Cited in: Note 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[SRC-TURPIN-EXPLANATIONS23] </w:t>
      </w:r>
      <w:r>
        <w:rPr>
          <w:rFonts w:ascii="EB Garamond" w:hAnsi="EB Garamond" w:eastAsia="EB Garamond" w:cs="EB Garamond"/>
          <w:color w:val="1F2D33"/>
          <w:sz w:val="21"/>
          <w:b w:val="0"/>
          <w:bCs w:val="0"/>
          <w:i w:val="0"/>
          <w:iCs w:val="0"/>
          <w:szCs w:val="21"/>
        </w:rPr>
        <w:t xml:space="preserve">Turpin, Miles, Julian Michael, Ethan Perez, and Samuel R. Bowman. 2023. “Language Models Don’t Always Say What They Think: Unfaithful Explanations in Chain-of-Thought Prompting.” NeurIPS 2023 conference paper, author manuscript, arXiv:2305.04388v2. </w:t>
      </w:r>
      <w:hyperlink r:id="rId205">
        <w:r>
          <w:rPr>
            <w:rFonts w:ascii="EB Garamond" w:hAnsi="EB Garamond" w:eastAsia="EB Garamond" w:cs="EB Garamond"/>
            <w:color w:val="1F2D33"/>
            <w:sz w:val="21"/>
            <w:b w:val="0"/>
            <w:bCs w:val="0"/>
            <w:i w:val="0"/>
            <w:iCs w:val="0"/>
            <w:rStyle w:val="Hyperlink"/>
            <w:szCs w:val="21"/>
          </w:rPr>
          <w:t xml:space="preserve">https://arxiv.org/abs/2305.04388v2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Conference research paper and author manuscript; findings concern the tested models and prompts.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Turpin et al. 2023. Cited in: Note 7.</w:t>
      </w:r>
    </w:p>
    <w:p>
      <w:pPr>
        <w:pStyle w:val="Heading1"/>
        <w:spacing w:line="460" w:lineRule="exact"/>
      </w:pPr>
      <w:r>
        <w:t>Digital Identity, Credentials, and Standards</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[SRC-W3C-VC20] </w:t>
      </w:r>
      <w:r>
        <w:rPr>
          <w:rFonts w:ascii="EB Garamond" w:hAnsi="EB Garamond" w:eastAsia="EB Garamond" w:cs="EB Garamond"/>
          <w:color w:val="1F2D33"/>
          <w:sz w:val="21"/>
          <w:b w:val="0"/>
          <w:bCs w:val="0"/>
          <w:i w:val="0"/>
          <w:iCs w:val="0"/>
          <w:szCs w:val="21"/>
        </w:rPr>
        <w:t xml:space="preserve">World Wide Web Consortium (W3C), Verifiable Credentials Working Group. 2025c. </w:t>
      </w:r>
      <w:r>
        <w:rPr>
          <w:rFonts w:ascii="EB Garamond" w:hAnsi="EB Garamond" w:eastAsia="EB Garamond" w:cs="EB Garamond"/>
          <w:color w:val="1F2D33"/>
          <w:sz w:val="21"/>
          <w:b w:val="0"/>
          <w:bCs w:val="0"/>
          <w:i w:val="1"/>
          <w:iCs w:val="1"/>
          <w:szCs w:val="21"/>
        </w:rPr>
        <w:t xml:space="preserve">Verifiable Credentials Data Model v2.0</w:t>
      </w:r>
      <w:r>
        <w:rPr>
          <w:rFonts w:ascii="EB Garamond" w:hAnsi="EB Garamond" w:eastAsia="EB Garamond" w:cs="EB Garamond"/>
          <w:color w:val="1F2D33"/>
          <w:sz w:val="21"/>
          <w:b w:val="0"/>
          <w:bCs w:val="0"/>
          <w:i w:val="0"/>
          <w:iCs w:val="0"/>
          <w:szCs w:val="21"/>
        </w:rPr>
        <w:t xml:space="preserve">. W3C Recommendation, May 15, 2025. </w:t>
      </w:r>
      <w:hyperlink r:id="rId228">
        <w:r>
          <w:rPr>
            <w:rFonts w:ascii="EB Garamond" w:hAnsi="EB Garamond" w:eastAsia="EB Garamond" w:cs="EB Garamond"/>
            <w:color w:val="1F2D33"/>
            <w:sz w:val="21"/>
            <w:b w:val="0"/>
            <w:bCs w:val="0"/>
            <w:i w:val="0"/>
            <w:iCs w:val="0"/>
            <w:rStyle w:val="Hyperlink"/>
            <w:szCs w:val="21"/>
          </w:rPr>
          <w:t xml:space="preserve">https://www.w3.org/TR/2025/REC-vc-data-model-2.0-20250515/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W3C Recommendation. Additional resource links: </w:t>
      </w:r>
      <w:hyperlink r:id="rId125">
        <w:r>
          <w:rPr>
            <w:rFonts w:ascii="EB Garamond" w:hAnsi="EB Garamond" w:eastAsia="EB Garamond" w:cs="EB Garamond"/>
            <w:color w:val="1F2D33"/>
            <w:sz w:val="21"/>
            <w:b w:val="0"/>
            <w:bCs w:val="0"/>
            <w:i w:val="0"/>
            <w:iCs w:val="0"/>
            <w:rStyle w:val="Hyperlink"/>
            <w:szCs w:val="21"/>
          </w:rPr>
          <w:t xml:space="preserve">https://www.w3.org/TR/vc-data-model-2.0/</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W3C 2025c. Cited in: Notes 8, 10, 11.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[SRC-W3C-DI] </w:t>
      </w:r>
      <w:r>
        <w:rPr>
          <w:rFonts w:ascii="EB Garamond" w:hAnsi="EB Garamond" w:eastAsia="EB Garamond" w:cs="EB Garamond"/>
          <w:color w:val="1F2D33"/>
          <w:sz w:val="21"/>
          <w:b w:val="0"/>
          <w:bCs w:val="0"/>
          <w:i w:val="0"/>
          <w:iCs w:val="0"/>
          <w:szCs w:val="21"/>
        </w:rPr>
        <w:t xml:space="preserve">World Wide Web Consortium (W3C), Verifiable Credentials Working Group. 2025b. </w:t>
      </w:r>
      <w:r>
        <w:rPr>
          <w:rFonts w:ascii="EB Garamond" w:hAnsi="EB Garamond" w:eastAsia="EB Garamond" w:cs="EB Garamond"/>
          <w:color w:val="1F2D33"/>
          <w:sz w:val="21"/>
          <w:b w:val="0"/>
          <w:bCs w:val="0"/>
          <w:i w:val="1"/>
          <w:iCs w:val="1"/>
          <w:szCs w:val="21"/>
        </w:rPr>
        <w:t xml:space="preserve">Verifiable Credential Data Integrity 1.0</w:t>
      </w:r>
      <w:r>
        <w:rPr>
          <w:rFonts w:ascii="EB Garamond" w:hAnsi="EB Garamond" w:eastAsia="EB Garamond" w:cs="EB Garamond"/>
          <w:color w:val="1F2D33"/>
          <w:sz w:val="21"/>
          <w:b w:val="0"/>
          <w:bCs w:val="0"/>
          <w:i w:val="0"/>
          <w:iCs w:val="0"/>
          <w:szCs w:val="21"/>
        </w:rPr>
        <w:t xml:space="preserve">. W3C Recommendation, May 15, 2025. </w:t>
      </w:r>
      <w:hyperlink r:id="rId229">
        <w:r>
          <w:rPr>
            <w:rFonts w:ascii="EB Garamond" w:hAnsi="EB Garamond" w:eastAsia="EB Garamond" w:cs="EB Garamond"/>
            <w:color w:val="1F2D33"/>
            <w:sz w:val="21"/>
            <w:b w:val="0"/>
            <w:bCs w:val="0"/>
            <w:i w:val="0"/>
            <w:iCs w:val="0"/>
            <w:rStyle w:val="Hyperlink"/>
            <w:szCs w:val="21"/>
          </w:rPr>
          <w:t xml:space="preserve">https://www.w3.org/TR/2025/REC-vc-data-integrity-20250515/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W3C Recommendation. Additional resource links: </w:t>
      </w:r>
      <w:hyperlink r:id="rId126">
        <w:r>
          <w:rPr>
            <w:rFonts w:ascii="EB Garamond" w:hAnsi="EB Garamond" w:eastAsia="EB Garamond" w:cs="EB Garamond"/>
            <w:color w:val="1F2D33"/>
            <w:sz w:val="21"/>
            <w:b w:val="0"/>
            <w:bCs w:val="0"/>
            <w:i w:val="0"/>
            <w:iCs w:val="0"/>
            <w:rStyle w:val="Hyperlink"/>
            <w:szCs w:val="21"/>
          </w:rPr>
          <w:t xml:space="preserve">https://www.w3.org/TR/vc-data-integrity/</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W3C 2025b. Cited in: Note 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[SRC-W3C-JOSE] </w:t>
      </w:r>
      <w:r>
        <w:rPr>
          <w:rFonts w:ascii="EB Garamond" w:hAnsi="EB Garamond" w:eastAsia="EB Garamond" w:cs="EB Garamond"/>
          <w:color w:val="1F2D33"/>
          <w:sz w:val="21"/>
          <w:b w:val="0"/>
          <w:bCs w:val="0"/>
          <w:i w:val="0"/>
          <w:iCs w:val="0"/>
          <w:szCs w:val="21"/>
        </w:rPr>
        <w:t xml:space="preserve">World Wide Web Consortium (W3C), Verifiable Credentials Working Group. 2025a. </w:t>
      </w:r>
      <w:r>
        <w:rPr>
          <w:rFonts w:ascii="EB Garamond" w:hAnsi="EB Garamond" w:eastAsia="EB Garamond" w:cs="EB Garamond"/>
          <w:color w:val="1F2D33"/>
          <w:sz w:val="21"/>
          <w:b w:val="0"/>
          <w:bCs w:val="0"/>
          <w:i w:val="1"/>
          <w:iCs w:val="1"/>
          <w:szCs w:val="21"/>
        </w:rPr>
        <w:t xml:space="preserve">Securing Verifiable Credentials Using JOSE and COSE</w:t>
      </w:r>
      <w:r>
        <w:rPr>
          <w:rFonts w:ascii="EB Garamond" w:hAnsi="EB Garamond" w:eastAsia="EB Garamond" w:cs="EB Garamond"/>
          <w:color w:val="1F2D33"/>
          <w:sz w:val="21"/>
          <w:b w:val="0"/>
          <w:bCs w:val="0"/>
          <w:i w:val="0"/>
          <w:iCs w:val="0"/>
          <w:szCs w:val="21"/>
        </w:rPr>
        <w:t xml:space="preserve">. W3C Recommendation, May 15, 2025. </w:t>
      </w:r>
      <w:hyperlink r:id="rId230">
        <w:r>
          <w:rPr>
            <w:rFonts w:ascii="EB Garamond" w:hAnsi="EB Garamond" w:eastAsia="EB Garamond" w:cs="EB Garamond"/>
            <w:color w:val="1F2D33"/>
            <w:sz w:val="21"/>
            <w:b w:val="0"/>
            <w:bCs w:val="0"/>
            <w:i w:val="0"/>
            <w:iCs w:val="0"/>
            <w:rStyle w:val="Hyperlink"/>
            <w:szCs w:val="21"/>
          </w:rPr>
          <w:t xml:space="preserve">https://www.w3.org/TR/2025/REC-vc-jose-cose-20250515/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W3C Recommendation. Additional resource links: </w:t>
      </w:r>
      <w:hyperlink r:id="rId127">
        <w:r>
          <w:rPr>
            <w:rFonts w:ascii="EB Garamond" w:hAnsi="EB Garamond" w:eastAsia="EB Garamond" w:cs="EB Garamond"/>
            <w:color w:val="1F2D33"/>
            <w:sz w:val="21"/>
            <w:b w:val="0"/>
            <w:bCs w:val="0"/>
            <w:i w:val="0"/>
            <w:iCs w:val="0"/>
            <w:rStyle w:val="Hyperlink"/>
            <w:szCs w:val="21"/>
          </w:rPr>
          <w:t xml:space="preserve">https://www.w3.org/TR/vc-jose-cose/</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W3C 2025a. Cited in: Note 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[SRC-OID4VCI] </w:t>
      </w:r>
      <w:r>
        <w:rPr>
          <w:rFonts w:ascii="EB Garamond" w:hAnsi="EB Garamond" w:eastAsia="EB Garamond" w:cs="EB Garamond"/>
          <w:color w:val="1F2D33"/>
          <w:sz w:val="21"/>
          <w:b w:val="0"/>
          <w:bCs w:val="0"/>
          <w:i w:val="0"/>
          <w:iCs w:val="0"/>
          <w:szCs w:val="21"/>
        </w:rPr>
        <w:t xml:space="preserve">OpenID Foundation, Digital Credentials Protocols Working Group. 2025a. </w:t>
      </w:r>
      <w:r>
        <w:rPr>
          <w:rFonts w:ascii="EB Garamond" w:hAnsi="EB Garamond" w:eastAsia="EB Garamond" w:cs="EB Garamond"/>
          <w:color w:val="1F2D33"/>
          <w:sz w:val="21"/>
          <w:b w:val="0"/>
          <w:bCs w:val="0"/>
          <w:i w:val="1"/>
          <w:iCs w:val="1"/>
          <w:szCs w:val="21"/>
        </w:rPr>
        <w:t xml:space="preserve">OpenID for Verifiable Credential Issuance 1.0</w:t>
      </w:r>
      <w:r>
        <w:rPr>
          <w:rFonts w:ascii="EB Garamond" w:hAnsi="EB Garamond" w:eastAsia="EB Garamond" w:cs="EB Garamond"/>
          <w:color w:val="1F2D33"/>
          <w:sz w:val="21"/>
          <w:b w:val="0"/>
          <w:bCs w:val="0"/>
          <w:i w:val="0"/>
          <w:iCs w:val="0"/>
          <w:szCs w:val="21"/>
        </w:rPr>
        <w:t xml:space="preserve">. Final specification, September 16, 2025. </w:t>
      </w:r>
      <w:hyperlink r:id="rId128">
        <w:r>
          <w:rPr>
            <w:rFonts w:ascii="EB Garamond" w:hAnsi="EB Garamond" w:eastAsia="EB Garamond" w:cs="EB Garamond"/>
            <w:color w:val="1F2D33"/>
            <w:sz w:val="21"/>
            <w:b w:val="0"/>
            <w:bCs w:val="0"/>
            <w:i w:val="0"/>
            <w:iCs w:val="0"/>
            <w:rStyle w:val="Hyperlink"/>
            <w:szCs w:val="21"/>
          </w:rPr>
          <w:t xml:space="preserve">https://openid.net/specs/openid-4-verifiable-credential-issuance-1_0.html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Specification.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OpenID Foundation 2025a. Cited in: Note 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[SRC-OID4VP] </w:t>
      </w:r>
      <w:r>
        <w:rPr>
          <w:rFonts w:ascii="EB Garamond" w:hAnsi="EB Garamond" w:eastAsia="EB Garamond" w:cs="EB Garamond"/>
          <w:color w:val="1F2D33"/>
          <w:sz w:val="21"/>
          <w:b w:val="0"/>
          <w:bCs w:val="0"/>
          <w:i w:val="0"/>
          <w:iCs w:val="0"/>
          <w:szCs w:val="21"/>
        </w:rPr>
        <w:t xml:space="preserve">OpenID Foundation, Digital Credentials Protocols Working Group. 2025b. </w:t>
      </w:r>
      <w:r>
        <w:rPr>
          <w:rFonts w:ascii="EB Garamond" w:hAnsi="EB Garamond" w:eastAsia="EB Garamond" w:cs="EB Garamond"/>
          <w:color w:val="1F2D33"/>
          <w:sz w:val="21"/>
          <w:b w:val="0"/>
          <w:bCs w:val="0"/>
          <w:i w:val="1"/>
          <w:iCs w:val="1"/>
          <w:szCs w:val="21"/>
        </w:rPr>
        <w:t xml:space="preserve">OpenID for Verifiable Presentations 1.0</w:t>
      </w:r>
      <w:r>
        <w:rPr>
          <w:rFonts w:ascii="EB Garamond" w:hAnsi="EB Garamond" w:eastAsia="EB Garamond" w:cs="EB Garamond"/>
          <w:color w:val="1F2D33"/>
          <w:sz w:val="21"/>
          <w:b w:val="0"/>
          <w:bCs w:val="0"/>
          <w:i w:val="0"/>
          <w:iCs w:val="0"/>
          <w:szCs w:val="21"/>
        </w:rPr>
        <w:t xml:space="preserve">. Final specification, July 9, 2025. </w:t>
      </w:r>
      <w:hyperlink r:id="rId129">
        <w:r>
          <w:rPr>
            <w:rFonts w:ascii="EB Garamond" w:hAnsi="EB Garamond" w:eastAsia="EB Garamond" w:cs="EB Garamond"/>
            <w:color w:val="1F2D33"/>
            <w:sz w:val="21"/>
            <w:b w:val="0"/>
            <w:bCs w:val="0"/>
            <w:i w:val="0"/>
            <w:iCs w:val="0"/>
            <w:rStyle w:val="Hyperlink"/>
            <w:szCs w:val="21"/>
          </w:rPr>
          <w:t xml:space="preserve">https://openid.net/specs/openid-4-verifiable-presentations-1_0.html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Specification.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OpenID Foundation 2025b. Cited in: Note 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[SRC-NIST-ID4] </w:t>
      </w:r>
      <w:r>
        <w:rPr>
          <w:rFonts w:ascii="EB Garamond" w:hAnsi="EB Garamond" w:eastAsia="EB Garamond" w:cs="EB Garamond"/>
          <w:color w:val="1F2D33"/>
          <w:sz w:val="21"/>
          <w:b w:val="0"/>
          <w:bCs w:val="0"/>
          <w:i w:val="0"/>
          <w:iCs w:val="0"/>
          <w:szCs w:val="21"/>
        </w:rPr>
        <w:t xml:space="preserve">Temoshok, David, Diana Proud-Madruga, Yee-Yin Choong, Ryan Galluzzo, Sarbari Gupta, Connie LaSalle, Naomi Lefkovitz, and Andrew Regenscheid. 2025. </w:t>
      </w:r>
      <w:r>
        <w:rPr>
          <w:rFonts w:ascii="EB Garamond" w:hAnsi="EB Garamond" w:eastAsia="EB Garamond" w:cs="EB Garamond"/>
          <w:color w:val="1F2D33"/>
          <w:sz w:val="21"/>
          <w:b w:val="0"/>
          <w:bCs w:val="0"/>
          <w:i w:val="1"/>
          <w:iCs w:val="1"/>
          <w:szCs w:val="21"/>
        </w:rPr>
        <w:t xml:space="preserve">Digital Identity Guidelines</w:t>
      </w:r>
      <w:r>
        <w:rPr>
          <w:rFonts w:ascii="EB Garamond" w:hAnsi="EB Garamond" w:eastAsia="EB Garamond" w:cs="EB Garamond"/>
          <w:color w:val="1F2D33"/>
          <w:sz w:val="21"/>
          <w:b w:val="0"/>
          <w:bCs w:val="0"/>
          <w:i w:val="0"/>
          <w:iCs w:val="0"/>
          <w:szCs w:val="21"/>
        </w:rPr>
        <w:t xml:space="preserve">. NIST Special Publication 800-63-4. National Institute of Standards and Technology. July 2025. </w:t>
      </w:r>
      <w:hyperlink r:id="rId130">
        <w:r>
          <w:rPr>
            <w:rFonts w:ascii="EB Garamond" w:hAnsi="EB Garamond" w:eastAsia="EB Garamond" w:cs="EB Garamond"/>
            <w:color w:val="1F2D33"/>
            <w:sz w:val="21"/>
            <w:b w:val="0"/>
            <w:bCs w:val="0"/>
            <w:i w:val="0"/>
            <w:iCs w:val="0"/>
            <w:rStyle w:val="Hyperlink"/>
            <w:szCs w:val="21"/>
          </w:rPr>
          <w:t xml:space="preserve">https://doi.org/10.6028/NIST.SP.800-63-4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technical standard.</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Temoshok et al. 2025. Cited in: Notes 9, 13.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[SRC-NIST-8202] </w:t>
      </w:r>
      <w:r>
        <w:rPr>
          <w:rFonts w:ascii="EB Garamond" w:hAnsi="EB Garamond" w:eastAsia="EB Garamond" w:cs="EB Garamond"/>
          <w:color w:val="1F2D33"/>
          <w:sz w:val="21"/>
          <w:b w:val="0"/>
          <w:bCs w:val="0"/>
          <w:i w:val="0"/>
          <w:iCs w:val="0"/>
          <w:szCs w:val="21"/>
        </w:rPr>
        <w:t xml:space="preserve">Yaga, Dylan, Peter Mell, Nik Roby, and Karen Scarfone. 2018. </w:t>
      </w:r>
      <w:r>
        <w:rPr>
          <w:rFonts w:ascii="EB Garamond" w:hAnsi="EB Garamond" w:eastAsia="EB Garamond" w:cs="EB Garamond"/>
          <w:color w:val="1F2D33"/>
          <w:sz w:val="21"/>
          <w:b w:val="0"/>
          <w:bCs w:val="0"/>
          <w:i w:val="1"/>
          <w:iCs w:val="1"/>
          <w:szCs w:val="21"/>
        </w:rPr>
        <w:t xml:space="preserve">Blockchain Technology Overview</w:t>
      </w:r>
      <w:r>
        <w:rPr>
          <w:rFonts w:ascii="EB Garamond" w:hAnsi="EB Garamond" w:eastAsia="EB Garamond" w:cs="EB Garamond"/>
          <w:color w:val="1F2D33"/>
          <w:sz w:val="21"/>
          <w:b w:val="0"/>
          <w:bCs w:val="0"/>
          <w:i w:val="0"/>
          <w:iCs w:val="0"/>
          <w:szCs w:val="21"/>
        </w:rPr>
        <w:t xml:space="preserve">. NIST Interagency/Internal Report 8202. National Institute of Standards and Technology. October 2018. </w:t>
      </w:r>
      <w:hyperlink r:id="rId131">
        <w:r>
          <w:rPr>
            <w:rFonts w:ascii="EB Garamond" w:hAnsi="EB Garamond" w:eastAsia="EB Garamond" w:cs="EB Garamond"/>
            <w:color w:val="1F2D33"/>
            <w:sz w:val="21"/>
            <w:b w:val="0"/>
            <w:bCs w:val="0"/>
            <w:i w:val="0"/>
            <w:iCs w:val="0"/>
            <w:rStyle w:val="Hyperlink"/>
            <w:szCs w:val="21"/>
          </w:rPr>
          <w:t xml:space="preserve">https://doi.org/10.6028/NIST.IR.8202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technical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Yaga et al. 2018. Cited in: Note 12.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[SRC-BURRELL-OPACITY16] </w:t>
      </w:r>
      <w:r>
        <w:rPr>
          <w:rFonts w:ascii="EB Garamond" w:hAnsi="EB Garamond" w:eastAsia="EB Garamond" w:cs="EB Garamond"/>
          <w:color w:val="1F2D33"/>
          <w:sz w:val="21"/>
          <w:b w:val="0"/>
          <w:bCs w:val="0"/>
          <w:i w:val="0"/>
          <w:iCs w:val="0"/>
          <w:szCs w:val="21"/>
        </w:rPr>
        <w:t xml:space="preserve">Burrell, Jenna. 2016. “How the Machine ‘Thinks’: Understanding Opacity in Machine Learning Algorithms.” </w:t>
      </w:r>
      <w:r>
        <w:rPr>
          <w:rFonts w:ascii="EB Garamond" w:hAnsi="EB Garamond" w:eastAsia="EB Garamond" w:cs="EB Garamond"/>
          <w:color w:val="1F2D33"/>
          <w:sz w:val="21"/>
          <w:b w:val="0"/>
          <w:bCs w:val="0"/>
          <w:i w:val="1"/>
          <w:iCs w:val="1"/>
          <w:szCs w:val="21"/>
        </w:rPr>
        <w:t xml:space="preserve">Big Data &amp; Society</w:t>
      </w:r>
      <w:r>
        <w:rPr>
          <w:rFonts w:ascii="EB Garamond" w:hAnsi="EB Garamond" w:eastAsia="EB Garamond" w:cs="EB Garamond"/>
          <w:color w:val="1F2D33"/>
          <w:sz w:val="21"/>
          <w:b w:val="0"/>
          <w:bCs w:val="0"/>
          <w:i w:val="0"/>
          <w:iCs w:val="0"/>
          <w:szCs w:val="21"/>
        </w:rPr>
        <w:t xml:space="preserve"> 3 (1). </w:t>
      </w:r>
      <w:hyperlink r:id="rId206">
        <w:r>
          <w:rPr>
            <w:rFonts w:ascii="EB Garamond" w:hAnsi="EB Garamond" w:eastAsia="EB Garamond" w:cs="EB Garamond"/>
            <w:color w:val="1F2D33"/>
            <w:sz w:val="21"/>
            <w:b w:val="0"/>
            <w:bCs w:val="0"/>
            <w:i w:val="0"/>
            <w:iCs w:val="0"/>
            <w:rStyle w:val="Hyperlink"/>
            <w:szCs w:val="21"/>
          </w:rPr>
          <w:t xml:space="preserve">https://doi.org/10.1177/2053951715622512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sociotechnical analysis of algorithmic opacity.</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Burrell 2016. Cited in: Note 24.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[SRC-C2PA-EXPLAINER22] </w:t>
      </w:r>
      <w:r>
        <w:rPr>
          <w:rFonts w:ascii="EB Garamond" w:hAnsi="EB Garamond" w:eastAsia="EB Garamond" w:cs="EB Garamond"/>
          <w:color w:val="1F2D33"/>
          <w:sz w:val="21"/>
          <w:b w:val="0"/>
          <w:bCs w:val="0"/>
          <w:i w:val="0"/>
          <w:iCs w:val="0"/>
          <w:szCs w:val="21"/>
        </w:rPr>
        <w:t xml:space="preserve">Coalition for Content Provenance and Authenticity (C2PA). n.d. </w:t>
      </w:r>
      <w:r>
        <w:rPr>
          <w:rFonts w:ascii="EB Garamond" w:hAnsi="EB Garamond" w:eastAsia="EB Garamond" w:cs="EB Garamond"/>
          <w:color w:val="1F2D33"/>
          <w:sz w:val="21"/>
          <w:b w:val="0"/>
          <w:bCs w:val="0"/>
          <w:i w:val="1"/>
          <w:iCs w:val="1"/>
          <w:szCs w:val="21"/>
        </w:rPr>
        <w:t xml:space="preserve">C2PA and Content Credentials Explainer</w:t>
      </w:r>
      <w:r>
        <w:rPr>
          <w:rFonts w:ascii="EB Garamond" w:hAnsi="EB Garamond" w:eastAsia="EB Garamond" w:cs="EB Garamond"/>
          <w:color w:val="1F2D33"/>
          <w:sz w:val="21"/>
          <w:b w:val="0"/>
          <w:bCs w:val="0"/>
          <w:i w:val="0"/>
          <w:iCs w:val="0"/>
          <w:szCs w:val="21"/>
        </w:rPr>
        <w:t xml:space="preserve">. Version 2.2. </w:t>
      </w:r>
      <w:hyperlink r:id="rId207">
        <w:r>
          <w:rPr>
            <w:rFonts w:ascii="EB Garamond" w:hAnsi="EB Garamond" w:eastAsia="EB Garamond" w:cs="EB Garamond"/>
            <w:color w:val="1F2D33"/>
            <w:sz w:val="21"/>
            <w:b w:val="0"/>
            <w:bCs w:val="0"/>
            <w:i w:val="0"/>
            <w:iCs w:val="0"/>
            <w:rStyle w:val="Hyperlink"/>
            <w:szCs w:val="21"/>
          </w:rPr>
          <w:t xml:space="preserve">https://spec.c2pa.org/specifications/specifications/2.2/explainer/Explainer.html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Technical explainer, version 2.2; provenance verification is not a truth judgment.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C2PA n.d.. Cited in: Note 27.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[SRC-NIST-AIRMF23] </w:t>
      </w:r>
      <w:r>
        <w:rPr>
          <w:rFonts w:ascii="EB Garamond" w:hAnsi="EB Garamond" w:eastAsia="EB Garamond" w:cs="EB Garamond"/>
          <w:color w:val="1F2D33"/>
          <w:sz w:val="21"/>
          <w:b w:val="0"/>
          <w:bCs w:val="0"/>
          <w:i w:val="0"/>
          <w:iCs w:val="0"/>
          <w:szCs w:val="21"/>
        </w:rPr>
        <w:t xml:space="preserve">National Institute of Standards and Technology (NIST). 2023a. </w:t>
      </w:r>
      <w:r>
        <w:rPr>
          <w:rFonts w:ascii="EB Garamond" w:hAnsi="EB Garamond" w:eastAsia="EB Garamond" w:cs="EB Garamond"/>
          <w:color w:val="1F2D33"/>
          <w:sz w:val="21"/>
          <w:b w:val="0"/>
          <w:bCs w:val="0"/>
          <w:i w:val="1"/>
          <w:iCs w:val="1"/>
          <w:szCs w:val="21"/>
        </w:rPr>
        <w:t xml:space="preserve">Artificial Intelligence Risk Management Framework (AI RMF 1.0)</w:t>
      </w:r>
      <w:r>
        <w:rPr>
          <w:rFonts w:ascii="EB Garamond" w:hAnsi="EB Garamond" w:eastAsia="EB Garamond" w:cs="EB Garamond"/>
          <w:color w:val="1F2D33"/>
          <w:sz w:val="21"/>
          <w:b w:val="0"/>
          <w:bCs w:val="0"/>
          <w:i w:val="0"/>
          <w:iCs w:val="0"/>
          <w:szCs w:val="21"/>
        </w:rPr>
        <w:t xml:space="preserve">. January 2023. NIST AI 100-1. </w:t>
      </w:r>
      <w:hyperlink r:id="rId208">
        <w:r>
          <w:rPr>
            <w:rFonts w:ascii="EB Garamond" w:hAnsi="EB Garamond" w:eastAsia="EB Garamond" w:cs="EB Garamond"/>
            <w:color w:val="1F2D33"/>
            <w:sz w:val="21"/>
            <w:b w:val="0"/>
            <w:bCs w:val="0"/>
            <w:i w:val="0"/>
            <w:iCs w:val="0"/>
            <w:rStyle w:val="Hyperlink"/>
            <w:szCs w:val="21"/>
          </w:rPr>
          <w:t xml:space="preserve">https://doi.org/10.6028/NIST.AI.100-1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voluntary risk-management framework; does not validate or endorse the author’s 2050 Test.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NIST 2023a. Cited in: Note 17.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[SRC-ISOIEC-42001-2023] </w:t>
      </w:r>
      <w:r>
        <w:rPr>
          <w:rFonts w:ascii="EB Garamond" w:hAnsi="EB Garamond" w:eastAsia="EB Garamond" w:cs="EB Garamond"/>
          <w:color w:val="1F2D33"/>
          <w:sz w:val="21"/>
          <w:b w:val="0"/>
          <w:bCs w:val="0"/>
          <w:i w:val="0"/>
          <w:iCs w:val="0"/>
          <w:szCs w:val="21"/>
        </w:rPr>
        <w:t xml:space="preserve">International Organization for Standardization and International Electrotechnical Commission. 2023. </w:t>
      </w:r>
      <w:r>
        <w:rPr>
          <w:rFonts w:ascii="EB Garamond" w:hAnsi="EB Garamond" w:eastAsia="EB Garamond" w:cs="EB Garamond"/>
          <w:color w:val="1F2D33"/>
          <w:sz w:val="21"/>
          <w:b w:val="0"/>
          <w:bCs w:val="0"/>
          <w:i w:val="1"/>
          <w:iCs w:val="1"/>
          <w:szCs w:val="21"/>
        </w:rPr>
        <w:t xml:space="preserve">Information Technology: Artificial Intelligence, Management System</w:t>
      </w:r>
      <w:r>
        <w:rPr>
          <w:rFonts w:ascii="EB Garamond" w:hAnsi="EB Garamond" w:eastAsia="EB Garamond" w:cs="EB Garamond"/>
          <w:color w:val="1F2D33"/>
          <w:sz w:val="21"/>
          <w:b w:val="0"/>
          <w:bCs w:val="0"/>
          <w:i w:val="0"/>
          <w:iCs w:val="0"/>
          <w:szCs w:val="21"/>
        </w:rPr>
        <w:t xml:space="preserve">. ISO/IEC 42001:2023. https://www.iso.org/standard/42001.</w:t>
      </w:r>
      <w:r>
        <w:rPr>
          <w:rFonts w:ascii="EB Garamond" w:hAnsi="EB Garamond" w:eastAsia="EB Garamond" w:cs="EB Garamond"/>
          <w:color w:val="1F2D33"/>
          <w:sz w:val="21"/>
          <w:b w:val="0"/>
          <w:bCs w:val="0"/>
          <w:i w:val="0"/>
          <w:iCs w:val="0"/>
          <w:szCs w:val="21"/>
        </w:rPr>
        <w:t xml:space="preserve"> International management system standard. Book key: International Organization for Standardization and International Electrotechnical Commission 2023. Cited in: Note 17.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[SRC-PARASURAMAN-AUTOMATION97] </w:t>
      </w:r>
      <w:r>
        <w:rPr>
          <w:rFonts w:ascii="EB Garamond" w:hAnsi="EB Garamond" w:eastAsia="EB Garamond" w:cs="EB Garamond"/>
          <w:color w:val="1F2D33"/>
          <w:sz w:val="21"/>
          <w:b w:val="0"/>
          <w:bCs w:val="0"/>
          <w:i w:val="0"/>
          <w:iCs w:val="0"/>
          <w:szCs w:val="21"/>
        </w:rPr>
        <w:t xml:space="preserve">Parasuraman, Raja, and Victor Riley. 1997. “Humans and Automation: Use, Misuse, Disuse, Abuse.” </w:t>
      </w:r>
      <w:r>
        <w:rPr>
          <w:rFonts w:ascii="EB Garamond" w:hAnsi="EB Garamond" w:eastAsia="EB Garamond" w:cs="EB Garamond"/>
          <w:color w:val="1F2D33"/>
          <w:sz w:val="21"/>
          <w:b w:val="0"/>
          <w:bCs w:val="0"/>
          <w:i w:val="1"/>
          <w:iCs w:val="1"/>
          <w:szCs w:val="21"/>
        </w:rPr>
        <w:t xml:space="preserve">Human Factors</w:t>
      </w:r>
      <w:r>
        <w:rPr>
          <w:rFonts w:ascii="EB Garamond" w:hAnsi="EB Garamond" w:eastAsia="EB Garamond" w:cs="EB Garamond"/>
          <w:color w:val="1F2D33"/>
          <w:sz w:val="21"/>
          <w:b w:val="0"/>
          <w:bCs w:val="0"/>
          <w:i w:val="0"/>
          <w:iCs w:val="0"/>
          <w:szCs w:val="21"/>
        </w:rPr>
        <w:t xml:space="preserve"> 39 (2): 230–253. </w:t>
      </w:r>
      <w:hyperlink r:id="rId209">
        <w:r>
          <w:rPr>
            <w:rFonts w:ascii="EB Garamond" w:hAnsi="EB Garamond" w:eastAsia="EB Garamond" w:cs="EB Garamond"/>
            <w:color w:val="1F2D33"/>
            <w:sz w:val="21"/>
            <w:b w:val="0"/>
            <w:bCs w:val="0"/>
            <w:i w:val="0"/>
            <w:iCs w:val="0"/>
            <w:rStyle w:val="Hyperlink"/>
            <w:szCs w:val="21"/>
          </w:rPr>
          <w:t xml:space="preserve">https://doi.org/10.1518/001872097778543886</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human-factors analysis of automation use and misuse.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Parasuraman and Riley 1997. Cited in: Note 23.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[SRC-NIST-BIAS22] </w:t>
      </w:r>
      <w:r>
        <w:rPr>
          <w:rFonts w:ascii="EB Garamond" w:hAnsi="EB Garamond" w:eastAsia="EB Garamond" w:cs="EB Garamond"/>
          <w:color w:val="1F2D33"/>
          <w:sz w:val="21"/>
          <w:b w:val="0"/>
          <w:bCs w:val="0"/>
          <w:i w:val="0"/>
          <w:iCs w:val="0"/>
          <w:szCs w:val="21"/>
        </w:rPr>
        <w:t xml:space="preserve">Schwartz, Reva, Apostol Vassilev, Kristen Greene, Lori Perine, Andrew Burt, and Patrick Hall. 2022. </w:t>
      </w:r>
      <w:r>
        <w:rPr>
          <w:rFonts w:ascii="EB Garamond" w:hAnsi="EB Garamond" w:eastAsia="EB Garamond" w:cs="EB Garamond"/>
          <w:color w:val="1F2D33"/>
          <w:sz w:val="21"/>
          <w:b w:val="0"/>
          <w:bCs w:val="0"/>
          <w:i w:val="1"/>
          <w:iCs w:val="1"/>
          <w:szCs w:val="21"/>
        </w:rPr>
        <w:t xml:space="preserve">Towards a Standard for Identifying and Managing Bias in Artificial Intelligence</w:t>
      </w:r>
      <w:r>
        <w:rPr>
          <w:rFonts w:ascii="EB Garamond" w:hAnsi="EB Garamond" w:eastAsia="EB Garamond" w:cs="EB Garamond"/>
          <w:color w:val="1F2D33"/>
          <w:sz w:val="21"/>
          <w:b w:val="0"/>
          <w:bCs w:val="0"/>
          <w:i w:val="0"/>
          <w:iCs w:val="0"/>
          <w:szCs w:val="21"/>
        </w:rPr>
        <w:t xml:space="preserve">. NIST Special Publication 1270. National Institute of Standards and Technology. Corrected March 24, 2022. </w:t>
      </w:r>
      <w:hyperlink r:id="rId210">
        <w:r>
          <w:rPr>
            <w:rFonts w:ascii="EB Garamond" w:hAnsi="EB Garamond" w:eastAsia="EB Garamond" w:cs="EB Garamond"/>
            <w:color w:val="1F2D33"/>
            <w:sz w:val="21"/>
            <w:b w:val="0"/>
            <w:bCs w:val="0"/>
            <w:i w:val="0"/>
            <w:iCs w:val="0"/>
            <w:rStyle w:val="Hyperlink"/>
            <w:szCs w:val="21"/>
          </w:rPr>
          <w:t xml:space="preserve">https://doi.org/10.6028/NIST.SP.1270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technical report on systemic, statistical, and human sources of bias.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Schwartz et al. 2022. Cited in: Note 34.</w:t>
      </w:r>
    </w:p>
    <w:p>
      <w:pPr>
        <w:pStyle w:val="Heading1"/>
        <w:spacing w:line="460" w:lineRule="exact"/>
      </w:pPr>
      <w:r>
        <w:t>Health, Society, Education, Work, and Development</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[SRC-WHO-AI-HEALTH21] </w:t>
      </w:r>
      <w:r>
        <w:rPr>
          <w:rFonts w:ascii="EB Garamond" w:hAnsi="EB Garamond" w:eastAsia="EB Garamond" w:cs="EB Garamond"/>
          <w:color w:val="1F2D33"/>
          <w:sz w:val="21"/>
          <w:b w:val="0"/>
          <w:bCs w:val="0"/>
          <w:i w:val="0"/>
          <w:iCs w:val="0"/>
          <w:szCs w:val="21"/>
        </w:rPr>
        <w:t xml:space="preserve">World Health Organization (WHO). 2021. </w:t>
      </w:r>
      <w:r>
        <w:rPr>
          <w:rFonts w:ascii="EB Garamond" w:hAnsi="EB Garamond" w:eastAsia="EB Garamond" w:cs="EB Garamond"/>
          <w:color w:val="1F2D33"/>
          <w:sz w:val="21"/>
          <w:b w:val="0"/>
          <w:bCs w:val="0"/>
          <w:i w:val="1"/>
          <w:iCs w:val="1"/>
          <w:szCs w:val="21"/>
        </w:rPr>
        <w:t xml:space="preserve">Ethics and Governance of Artificial Intelligence for Health: WHO Guidance</w:t>
      </w:r>
      <w:r>
        <w:rPr>
          <w:rFonts w:ascii="EB Garamond" w:hAnsi="EB Garamond" w:eastAsia="EB Garamond" w:cs="EB Garamond"/>
          <w:color w:val="1F2D33"/>
          <w:sz w:val="21"/>
          <w:b w:val="0"/>
          <w:bCs w:val="0"/>
          <w:i w:val="0"/>
          <w:iCs w:val="0"/>
          <w:szCs w:val="21"/>
        </w:rPr>
        <w:t xml:space="preserve">. World Health Organization. </w:t>
      </w:r>
      <w:hyperlink r:id="rId132">
        <w:r>
          <w:rPr>
            <w:rFonts w:ascii="EB Garamond" w:hAnsi="EB Garamond" w:eastAsia="EB Garamond" w:cs="EB Garamond"/>
            <w:color w:val="1F2D33"/>
            <w:sz w:val="21"/>
            <w:b w:val="0"/>
            <w:bCs w:val="0"/>
            <w:i w:val="0"/>
            <w:iCs w:val="0"/>
            <w:rStyle w:val="Hyperlink"/>
            <w:szCs w:val="21"/>
          </w:rPr>
          <w:t xml:space="preserve">https://www.who.int/publications/i/item/9789240029200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guidance.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2021.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[SRC-WHO-AI-REG23] </w:t>
      </w:r>
      <w:r>
        <w:rPr>
          <w:rFonts w:ascii="EB Garamond" w:hAnsi="EB Garamond" w:eastAsia="EB Garamond" w:cs="EB Garamond"/>
          <w:color w:val="1F2D33"/>
          <w:sz w:val="21"/>
          <w:b w:val="0"/>
          <w:bCs w:val="0"/>
          <w:i w:val="0"/>
          <w:iCs w:val="0"/>
          <w:szCs w:val="21"/>
        </w:rPr>
        <w:t xml:space="preserve">World Health Organization (WHO). 2023. </w:t>
      </w:r>
      <w:r>
        <w:rPr>
          <w:rFonts w:ascii="EB Garamond" w:hAnsi="EB Garamond" w:eastAsia="EB Garamond" w:cs="EB Garamond"/>
          <w:color w:val="1F2D33"/>
          <w:sz w:val="21"/>
          <w:b w:val="0"/>
          <w:bCs w:val="0"/>
          <w:i w:val="1"/>
          <w:iCs w:val="1"/>
          <w:szCs w:val="21"/>
        </w:rPr>
        <w:t xml:space="preserve">Regulatory Considerations on Artificial Intelligence for Health</w:t>
      </w:r>
      <w:r>
        <w:rPr>
          <w:rFonts w:ascii="EB Garamond" w:hAnsi="EB Garamond" w:eastAsia="EB Garamond" w:cs="EB Garamond"/>
          <w:color w:val="1F2D33"/>
          <w:sz w:val="21"/>
          <w:b w:val="0"/>
          <w:bCs w:val="0"/>
          <w:i w:val="0"/>
          <w:iCs w:val="0"/>
          <w:szCs w:val="21"/>
        </w:rPr>
        <w:t xml:space="preserve">. World Health Organization. </w:t>
      </w:r>
      <w:hyperlink r:id="rId133">
        <w:r>
          <w:rPr>
            <w:rFonts w:ascii="EB Garamond" w:hAnsi="EB Garamond" w:eastAsia="EB Garamond" w:cs="EB Garamond"/>
            <w:color w:val="1F2D33"/>
            <w:sz w:val="21"/>
            <w:b w:val="0"/>
            <w:bCs w:val="0"/>
            <w:i w:val="0"/>
            <w:iCs w:val="0"/>
            <w:rStyle w:val="Hyperlink"/>
            <w:szCs w:val="21"/>
          </w:rPr>
          <w:t xml:space="preserve">https://www.who.int/publications/i/item/9789240078871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overview of regulatory considerations, explicitly not guidance, a regulatory framework, or policy.</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2023.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[SRC-WHO-LMM24-25] </w:t>
      </w:r>
      <w:r>
        <w:rPr>
          <w:rFonts w:ascii="EB Garamond" w:hAnsi="EB Garamond" w:eastAsia="EB Garamond" w:cs="EB Garamond"/>
          <w:color w:val="1F2D33"/>
          <w:sz w:val="21"/>
          <w:b w:val="0"/>
          <w:bCs w:val="0"/>
          <w:i w:val="0"/>
          <w:iCs w:val="0"/>
          <w:szCs w:val="21"/>
        </w:rPr>
        <w:t xml:space="preserve">World Health Organization (WHO). 2024. </w:t>
      </w:r>
      <w:r>
        <w:rPr>
          <w:rFonts w:ascii="EB Garamond" w:hAnsi="EB Garamond" w:eastAsia="EB Garamond" w:cs="EB Garamond"/>
          <w:color w:val="1F2D33"/>
          <w:sz w:val="21"/>
          <w:b w:val="0"/>
          <w:bCs w:val="0"/>
          <w:i w:val="1"/>
          <w:iCs w:val="1"/>
          <w:szCs w:val="21"/>
        </w:rPr>
        <w:t xml:space="preserve">Ethics and Governance of Artificial Intelligence for Health: Guidance on Large Multi-Modal Models</w:t>
      </w:r>
      <w:r>
        <w:rPr>
          <w:rFonts w:ascii="EB Garamond" w:hAnsi="EB Garamond" w:eastAsia="EB Garamond" w:cs="EB Garamond"/>
          <w:color w:val="1F2D33"/>
          <w:sz w:val="21"/>
          <w:b w:val="0"/>
          <w:bCs w:val="0"/>
          <w:i w:val="0"/>
          <w:iCs w:val="0"/>
          <w:szCs w:val="21"/>
        </w:rPr>
        <w:t xml:space="preserve">. World Health Organization. </w:t>
      </w:r>
      <w:hyperlink r:id="rId134">
        <w:r>
          <w:rPr>
            <w:rFonts w:ascii="EB Garamond" w:hAnsi="EB Garamond" w:eastAsia="EB Garamond" w:cs="EB Garamond"/>
            <w:color w:val="1F2D33"/>
            <w:sz w:val="21"/>
            <w:b w:val="0"/>
            <w:bCs w:val="0"/>
            <w:i w:val="0"/>
            <w:iCs w:val="0"/>
            <w:rStyle w:val="Hyperlink"/>
            <w:szCs w:val="21"/>
          </w:rPr>
          <w:t xml:space="preserve">https://www.who.int/publications/i/item/9789240084759</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WHO edition and bibliographic citation: 2024; current institutional page dated 2025-03-25. Additional resource links: </w:t>
      </w:r>
      <w:hyperlink r:id="rId135">
        <w:r>
          <w:rPr>
            <w:rFonts w:ascii="EB Garamond" w:hAnsi="EB Garamond" w:eastAsia="EB Garamond" w:cs="EB Garamond"/>
            <w:color w:val="1F2D33"/>
            <w:sz w:val="21"/>
            <w:b w:val="0"/>
            <w:bCs w:val="0"/>
            <w:i w:val="0"/>
            <w:iCs w:val="0"/>
            <w:rStyle w:val="Hyperlink"/>
            <w:szCs w:val="21"/>
          </w:rPr>
          <w:t xml:space="preserve">https://www.who.int/publications/b/70584</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2024.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[SRC-WHO-AI-EU26] </w:t>
      </w:r>
      <w:r>
        <w:rPr>
          <w:rFonts w:ascii="EB Garamond" w:hAnsi="EB Garamond" w:eastAsia="EB Garamond" w:cs="EB Garamond"/>
          <w:color w:val="1F2D33"/>
          <w:sz w:val="21"/>
          <w:b w:val="0"/>
          <w:bCs w:val="0"/>
          <w:i w:val="0"/>
          <w:iCs w:val="0"/>
          <w:szCs w:val="21"/>
        </w:rPr>
        <w:t xml:space="preserve">World Health Organization (WHO), Regional Office for Europe. 2026. </w:t>
      </w:r>
      <w:r>
        <w:rPr>
          <w:rFonts w:ascii="EB Garamond" w:hAnsi="EB Garamond" w:eastAsia="EB Garamond" w:cs="EB Garamond"/>
          <w:color w:val="1F2D33"/>
          <w:sz w:val="21"/>
          <w:b w:val="0"/>
          <w:bCs w:val="0"/>
          <w:i w:val="1"/>
          <w:iCs w:val="1"/>
          <w:szCs w:val="21"/>
        </w:rPr>
        <w:t xml:space="preserve">Artificial Intelligence Is Reshaping Health Systems: State of Readiness across the European Union</w:t>
      </w:r>
      <w:r>
        <w:rPr>
          <w:rFonts w:ascii="EB Garamond" w:hAnsi="EB Garamond" w:eastAsia="EB Garamond" w:cs="EB Garamond"/>
          <w:color w:val="1F2D33"/>
          <w:sz w:val="21"/>
          <w:b w:val="0"/>
          <w:bCs w:val="0"/>
          <w:i w:val="0"/>
          <w:iCs w:val="0"/>
          <w:szCs w:val="21"/>
        </w:rPr>
        <w:t xml:space="preserve">. WHO/EURO:2026-12707-52481-81471. </w:t>
      </w:r>
      <w:hyperlink r:id="rId136">
        <w:r>
          <w:rPr>
            <w:rFonts w:ascii="EB Garamond" w:hAnsi="EB Garamond" w:eastAsia="EB Garamond" w:cs="EB Garamond"/>
            <w:color w:val="1F2D33"/>
            <w:sz w:val="21"/>
            <w:b w:val="0"/>
            <w:bCs w:val="0"/>
            <w:i w:val="0"/>
            <w:iCs w:val="0"/>
            <w:rStyle w:val="Hyperlink"/>
            <w:szCs w:val="21"/>
          </w:rPr>
          <w:t xml:space="preserve">https://www.who.int/europe/publications/i/item/WHO-EURO-2026-12707-52481-81471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report on the preparedness of health systems in the 27 EU Member States; not clinical evidence of efficacy. WHO/EURO:2026-12707-52481-81471.</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Regional Office for Europe 2026.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[SRC-WHO-AI-POLICY26] </w:t>
      </w:r>
      <w:r>
        <w:rPr>
          <w:rFonts w:ascii="EB Garamond" w:hAnsi="EB Garamond" w:eastAsia="EB Garamond" w:cs="EB Garamond"/>
          <w:color w:val="1F2D33"/>
          <w:sz w:val="21"/>
          <w:b w:val="0"/>
          <w:bCs w:val="0"/>
          <w:i w:val="0"/>
          <w:iCs w:val="0"/>
          <w:szCs w:val="21"/>
        </w:rPr>
        <w:t xml:space="preserve">World Health Organization (WHO). 2026. </w:t>
      </w:r>
      <w:r>
        <w:rPr>
          <w:rFonts w:ascii="EB Garamond" w:hAnsi="EB Garamond" w:eastAsia="EB Garamond" w:cs="EB Garamond"/>
          <w:color w:val="1F2D33"/>
          <w:sz w:val="21"/>
          <w:b w:val="0"/>
          <w:bCs w:val="0"/>
          <w:i w:val="1"/>
          <w:iCs w:val="1"/>
          <w:szCs w:val="21"/>
        </w:rPr>
        <w:t xml:space="preserve">Artificial Intelligence and Evidence-Informed Policy: Emerging Challenges and Opportunities: Discussion Paper</w:t>
      </w:r>
      <w:r>
        <w:rPr>
          <w:rFonts w:ascii="EB Garamond" w:hAnsi="EB Garamond" w:eastAsia="EB Garamond" w:cs="EB Garamond"/>
          <w:color w:val="1F2D33"/>
          <w:sz w:val="21"/>
          <w:b w:val="0"/>
          <w:bCs w:val="0"/>
          <w:i w:val="0"/>
          <w:iCs w:val="0"/>
          <w:szCs w:val="21"/>
        </w:rPr>
        <w:t xml:space="preserve">. B09667. </w:t>
      </w:r>
      <w:hyperlink r:id="rId137">
        <w:r>
          <w:rPr>
            <w:rFonts w:ascii="EB Garamond" w:hAnsi="EB Garamond" w:eastAsia="EB Garamond" w:cs="EB Garamond"/>
            <w:color w:val="1F2D33"/>
            <w:sz w:val="21"/>
            <w:b w:val="0"/>
            <w:bCs w:val="0"/>
            <w:i w:val="0"/>
            <w:iCs w:val="0"/>
            <w:rStyle w:val="Hyperlink"/>
            <w:szCs w:val="21"/>
          </w:rPr>
          <w:t xml:space="preserve">https://www.who.int/publications/i/item/B09667</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technical paper; calls for oversight, impact assessments, and human judgment.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2026.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[SRC-MDCG-MDSW25] </w:t>
      </w:r>
      <w:r>
        <w:rPr>
          <w:rFonts w:ascii="EB Garamond" w:hAnsi="EB Garamond" w:eastAsia="EB Garamond" w:cs="EB Garamond"/>
          <w:color w:val="1F2D33"/>
          <w:sz w:val="21"/>
          <w:b w:val="0"/>
          <w:bCs w:val="0"/>
          <w:i w:val="0"/>
          <w:iCs w:val="0"/>
          <w:szCs w:val="21"/>
        </w:rPr>
        <w:t xml:space="preserve">Medical Device Coordination Group (MDCG). 2025. </w:t>
      </w:r>
      <w:r>
        <w:rPr>
          <w:rFonts w:ascii="EB Garamond" w:hAnsi="EB Garamond" w:eastAsia="EB Garamond" w:cs="EB Garamond"/>
          <w:color w:val="1F2D33"/>
          <w:sz w:val="21"/>
          <w:b w:val="0"/>
          <w:bCs w:val="0"/>
          <w:i w:val="1"/>
          <w:iCs w:val="1"/>
          <w:szCs w:val="21"/>
        </w:rPr>
        <w:t xml:space="preserve">Guidance on Qualification and Classification of Software in Regulation (EU) 2017/745, MDR, and Regulation (EU) 2017/746, IVDR</w:t>
      </w:r>
      <w:r>
        <w:rPr>
          <w:rFonts w:ascii="EB Garamond" w:hAnsi="EB Garamond" w:eastAsia="EB Garamond" w:cs="EB Garamond"/>
          <w:color w:val="1F2D33"/>
          <w:sz w:val="21"/>
          <w:b w:val="0"/>
          <w:bCs w:val="0"/>
          <w:i w:val="0"/>
          <w:iCs w:val="0"/>
          <w:szCs w:val="21"/>
        </w:rPr>
        <w:t xml:space="preserve">. June 17, 2025. MDCG 2019-11 rev.1. </w:t>
      </w:r>
      <w:hyperlink r:id="rId138">
        <w:r>
          <w:rPr>
            <w:rFonts w:ascii="EB Garamond" w:hAnsi="EB Garamond" w:eastAsia="EB Garamond" w:cs="EB Garamond"/>
            <w:color w:val="1F2D33"/>
            <w:sz w:val="21"/>
            <w:b w:val="0"/>
            <w:bCs w:val="0"/>
            <w:i w:val="0"/>
            <w:iCs w:val="0"/>
            <w:rStyle w:val="Hyperlink"/>
            <w:szCs w:val="21"/>
          </w:rPr>
          <w:t xml:space="preserve">https://health.ec.europa.eu/document/download/b45335c5-1679-4c71-a91c-fc7a4d37f12b_en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European Commission guidance, not a legislative act.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MDCG 2025.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[SRC-MDCG-AIA25] </w:t>
      </w:r>
      <w:r>
        <w:rPr>
          <w:rFonts w:ascii="EB Garamond" w:hAnsi="EB Garamond" w:eastAsia="EB Garamond" w:cs="EB Garamond"/>
          <w:color w:val="1F2D33"/>
          <w:sz w:val="21"/>
          <w:b w:val="0"/>
          <w:bCs w:val="0"/>
          <w:i w:val="0"/>
          <w:iCs w:val="0"/>
          <w:szCs w:val="21"/>
        </w:rPr>
        <w:t xml:space="preserve">Artificial Intelligence Board (AIB) and Medical Device Coordination Group (MDCG). 2025. </w:t>
      </w:r>
      <w:r>
        <w:rPr>
          <w:rFonts w:ascii="EB Garamond" w:hAnsi="EB Garamond" w:eastAsia="EB Garamond" w:cs="EB Garamond"/>
          <w:color w:val="1F2D33"/>
          <w:sz w:val="21"/>
          <w:b w:val="0"/>
          <w:bCs w:val="0"/>
          <w:i w:val="1"/>
          <w:iCs w:val="1"/>
          <w:szCs w:val="21"/>
        </w:rPr>
        <w:t xml:space="preserve">Interplay between the Medical Devices Regulation, the In Vitro Diagnostic Medical Devices Regulation and the Artificial Intelligence Act</w:t>
      </w:r>
      <w:r>
        <w:rPr>
          <w:rFonts w:ascii="EB Garamond" w:hAnsi="EB Garamond" w:eastAsia="EB Garamond" w:cs="EB Garamond"/>
          <w:color w:val="1F2D33"/>
          <w:sz w:val="21"/>
          <w:b w:val="0"/>
          <w:bCs w:val="0"/>
          <w:i w:val="0"/>
          <w:iCs w:val="0"/>
          <w:szCs w:val="21"/>
        </w:rPr>
        <w:t xml:space="preserve">. AIB 2025-1; MDCG 2025-6. </w:t>
      </w:r>
      <w:hyperlink r:id="rId139">
        <w:r>
          <w:rPr>
            <w:rFonts w:ascii="EB Garamond" w:hAnsi="EB Garamond" w:eastAsia="EB Garamond" w:cs="EB Garamond"/>
            <w:color w:val="1F2D33"/>
            <w:sz w:val="21"/>
            <w:b w:val="0"/>
            <w:bCs w:val="0"/>
            <w:i w:val="0"/>
            <w:iCs w:val="0"/>
            <w:rStyle w:val="Hyperlink"/>
            <w:szCs w:val="21"/>
          </w:rPr>
          <w:t xml:space="preserve">https://health.ec.europa.eu/document/download/b78a17d7-e3cd-4943-851d-e02a2f22bbb4_en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joint guidance, not a legislative act.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AIB and MDCG 2025.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[SRC-WHO-ADOLESCENT25] </w:t>
      </w:r>
      <w:r>
        <w:rPr>
          <w:rFonts w:ascii="EB Garamond" w:hAnsi="EB Garamond" w:eastAsia="EB Garamond" w:cs="EB Garamond"/>
          <w:color w:val="1F2D33"/>
          <w:sz w:val="21"/>
          <w:b w:val="0"/>
          <w:bCs w:val="0"/>
          <w:i w:val="0"/>
          <w:iCs w:val="0"/>
          <w:szCs w:val="21"/>
        </w:rPr>
        <w:t xml:space="preserve">World Health Organization (WHO). 2025b. “Mental Health of Adolescents.” September 1, 2025. </w:t>
      </w:r>
      <w:hyperlink r:id="rId140">
        <w:r>
          <w:rPr>
            <w:rFonts w:ascii="EB Garamond" w:hAnsi="EB Garamond" w:eastAsia="EB Garamond" w:cs="EB Garamond"/>
            <w:color w:val="1F2D33"/>
            <w:sz w:val="21"/>
            <w:b w:val="0"/>
            <w:bCs w:val="0"/>
            <w:i w:val="0"/>
            <w:iCs w:val="0"/>
            <w:rStyle w:val="Hyperlink"/>
            <w:szCs w:val="21"/>
          </w:rPr>
          <w:t xml:space="preserve">https://www.who.int/news-room/fact-sheets/detail/adolescent-mental-health</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fact sheet.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2025b.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[SRC-WHO-CONNECTION25] </w:t>
      </w:r>
      <w:r>
        <w:rPr>
          <w:rFonts w:ascii="EB Garamond" w:hAnsi="EB Garamond" w:eastAsia="EB Garamond" w:cs="EB Garamond"/>
          <w:color w:val="1F2D33"/>
          <w:sz w:val="21"/>
          <w:b w:val="0"/>
          <w:bCs w:val="0"/>
          <w:i w:val="0"/>
          <w:iCs w:val="0"/>
          <w:szCs w:val="21"/>
        </w:rPr>
        <w:t xml:space="preserve">World Health Organization (WHO). 2025a. </w:t>
      </w:r>
      <w:r>
        <w:rPr>
          <w:rFonts w:ascii="EB Garamond" w:hAnsi="EB Garamond" w:eastAsia="EB Garamond" w:cs="EB Garamond"/>
          <w:color w:val="1F2D33"/>
          <w:sz w:val="21"/>
          <w:b w:val="0"/>
          <w:bCs w:val="0"/>
          <w:i w:val="1"/>
          <w:iCs w:val="1"/>
          <w:szCs w:val="21"/>
        </w:rPr>
        <w:t xml:space="preserve">From Loneliness to Social Connection: Charting a Path to Healthier Societies</w:t>
      </w:r>
      <w:r>
        <w:rPr>
          <w:rFonts w:ascii="EB Garamond" w:hAnsi="EB Garamond" w:eastAsia="EB Garamond" w:cs="EB Garamond"/>
          <w:color w:val="1F2D33"/>
          <w:sz w:val="21"/>
          <w:b w:val="0"/>
          <w:bCs w:val="0"/>
          <w:i w:val="0"/>
          <w:iCs w:val="0"/>
          <w:szCs w:val="21"/>
        </w:rPr>
        <w:t xml:space="preserve">. Report of the WHO Commission on Social Connection. </w:t>
      </w:r>
      <w:hyperlink r:id="rId141">
        <w:r>
          <w:rPr>
            <w:rFonts w:ascii="EB Garamond" w:hAnsi="EB Garamond" w:eastAsia="EB Garamond" w:cs="EB Garamond"/>
            <w:color w:val="1F2D33"/>
            <w:sz w:val="21"/>
            <w:b w:val="0"/>
            <w:bCs w:val="0"/>
            <w:i w:val="0"/>
            <w:iCs w:val="0"/>
            <w:rStyle w:val="Hyperlink"/>
            <w:szCs w:val="21"/>
          </w:rPr>
          <w:t xml:space="preserve">https://www.who.int/groups/commission-on-social-connection/report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WHO 2025a.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[SRC-UNICEF-AI-CHILD25] </w:t>
      </w:r>
      <w:r>
        <w:rPr>
          <w:rFonts w:ascii="EB Garamond" w:hAnsi="EB Garamond" w:eastAsia="EB Garamond" w:cs="EB Garamond"/>
          <w:color w:val="1F2D33"/>
          <w:sz w:val="21"/>
          <w:b w:val="0"/>
          <w:bCs w:val="0"/>
          <w:i w:val="0"/>
          <w:iCs w:val="0"/>
          <w:szCs w:val="21"/>
        </w:rPr>
        <w:t xml:space="preserve">United Nations Children’s Fund (UNICEF), Innocenti. 2025. </w:t>
      </w:r>
      <w:r>
        <w:rPr>
          <w:rFonts w:ascii="EB Garamond" w:hAnsi="EB Garamond" w:eastAsia="EB Garamond" w:cs="EB Garamond"/>
          <w:color w:val="1F2D33"/>
          <w:sz w:val="21"/>
          <w:b w:val="0"/>
          <w:bCs w:val="0"/>
          <w:i w:val="1"/>
          <w:iCs w:val="1"/>
          <w:szCs w:val="21"/>
        </w:rPr>
        <w:t xml:space="preserve">Guidance on AI and Children</w:t>
      </w:r>
      <w:r>
        <w:rPr>
          <w:rFonts w:ascii="EB Garamond" w:hAnsi="EB Garamond" w:eastAsia="EB Garamond" w:cs="EB Garamond"/>
          <w:color w:val="1F2D33"/>
          <w:sz w:val="21"/>
          <w:b w:val="0"/>
          <w:bCs w:val="0"/>
          <w:i w:val="0"/>
          <w:iCs w:val="0"/>
          <w:szCs w:val="21"/>
        </w:rPr>
        <w:t xml:space="preserve">. Version 3.0. </w:t>
      </w:r>
      <w:hyperlink r:id="rId142">
        <w:r>
          <w:rPr>
            <w:rFonts w:ascii="EB Garamond" w:hAnsi="EB Garamond" w:eastAsia="EB Garamond" w:cs="EB Garamond"/>
            <w:color w:val="1F2D33"/>
            <w:sz w:val="21"/>
            <w:b w:val="0"/>
            <w:bCs w:val="0"/>
            <w:i w:val="0"/>
            <w:iCs w:val="0"/>
            <w:rStyle w:val="Hyperlink"/>
            <w:szCs w:val="21"/>
          </w:rPr>
          <w:t xml:space="preserve">https://www.unicef.org/innocenti/reports/policy-guidance-ai-children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guidance grounded in children’s rights.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UNICEF Innocenti 2025.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[SRC-UNICEF-COMPANIONS26] </w:t>
      </w:r>
      <w:r>
        <w:rPr>
          <w:rFonts w:ascii="EB Garamond" w:hAnsi="EB Garamond" w:eastAsia="EB Garamond" w:cs="EB Garamond"/>
          <w:color w:val="1F2D33"/>
          <w:sz w:val="21"/>
          <w:b w:val="0"/>
          <w:bCs w:val="0"/>
          <w:i w:val="0"/>
          <w:iCs w:val="0"/>
          <w:szCs w:val="21"/>
        </w:rPr>
        <w:t xml:space="preserve">United Nations Children’s Fund (UNICEF). 2026. </w:t>
      </w:r>
      <w:r>
        <w:rPr>
          <w:rFonts w:ascii="EB Garamond" w:hAnsi="EB Garamond" w:eastAsia="EB Garamond" w:cs="EB Garamond"/>
          <w:color w:val="1F2D33"/>
          <w:sz w:val="21"/>
          <w:b w:val="0"/>
          <w:bCs w:val="0"/>
          <w:i w:val="1"/>
          <w:iCs w:val="1"/>
          <w:szCs w:val="21"/>
        </w:rPr>
        <w:t xml:space="preserve">When AI Becomes a Friend: Child Rights Risks, Harms, and Regulatory Responses to AI Chatbots and Companions</w:t>
      </w:r>
      <w:r>
        <w:rPr>
          <w:rFonts w:ascii="EB Garamond" w:hAnsi="EB Garamond" w:eastAsia="EB Garamond" w:cs="EB Garamond"/>
          <w:color w:val="1F2D33"/>
          <w:sz w:val="21"/>
          <w:b w:val="0"/>
          <w:bCs w:val="0"/>
          <w:i w:val="0"/>
          <w:iCs w:val="0"/>
          <w:szCs w:val="21"/>
        </w:rPr>
        <w:t xml:space="preserve">. June 2026. Policy brief. </w:t>
      </w:r>
      <w:hyperlink r:id="rId143">
        <w:r>
          <w:rPr>
            <w:rFonts w:ascii="EB Garamond" w:hAnsi="EB Garamond" w:eastAsia="EB Garamond" w:cs="EB Garamond"/>
            <w:color w:val="1F2D33"/>
            <w:sz w:val="21"/>
            <w:b w:val="0"/>
            <w:bCs w:val="0"/>
            <w:i w:val="0"/>
            <w:iCs w:val="0"/>
            <w:rStyle w:val="Hyperlink"/>
            <w:szCs w:val="21"/>
          </w:rPr>
          <w:t xml:space="preserve">https://www.unicef.org/documents/when-ai-becomes-friend-child-rights-risks</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Policy brief; regulatory review updated through 2026-05-15, not clinical evidence.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UNICEF 2026.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[SRC-FTC-COMPANIONS25] </w:t>
      </w:r>
      <w:r>
        <w:rPr>
          <w:rFonts w:ascii="EB Garamond" w:hAnsi="EB Garamond" w:eastAsia="EB Garamond" w:cs="EB Garamond"/>
          <w:color w:val="1F2D33"/>
          <w:sz w:val="21"/>
          <w:b w:val="0"/>
          <w:bCs w:val="0"/>
          <w:i w:val="0"/>
          <w:iCs w:val="0"/>
          <w:szCs w:val="21"/>
        </w:rPr>
        <w:t xml:space="preserve">U.S. Federal Trade Commission (FTC). 2025. “FTC Launches Inquiry into AI Chatbots Acting as Companions.” September 2025. </w:t>
      </w:r>
      <w:hyperlink r:id="rId144">
        <w:r>
          <w:rPr>
            <w:rFonts w:ascii="EB Garamond" w:hAnsi="EB Garamond" w:eastAsia="EB Garamond" w:cs="EB Garamond"/>
            <w:color w:val="1F2D33"/>
            <w:sz w:val="21"/>
            <w:b w:val="0"/>
            <w:bCs w:val="0"/>
            <w:i w:val="0"/>
            <w:iCs w:val="0"/>
            <w:rStyle w:val="Hyperlink"/>
            <w:szCs w:val="21"/>
          </w:rPr>
          <w:t xml:space="preserve">https://www.ftc.gov/news-events/news/press-releases/2025/09/ftc-launches-inquiry-ai-chatbots-acting-companions</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Regulatory inquiry, not a clinical finding.</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FTC 2025.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[SRC-UNESCO-GENAI-ED23] </w:t>
      </w:r>
      <w:r>
        <w:rPr>
          <w:rFonts w:ascii="EB Garamond" w:hAnsi="EB Garamond" w:eastAsia="EB Garamond" w:cs="EB Garamond"/>
          <w:color w:val="1F2D33"/>
          <w:sz w:val="21"/>
          <w:b w:val="0"/>
          <w:bCs w:val="0"/>
          <w:i w:val="0"/>
          <w:iCs w:val="0"/>
          <w:szCs w:val="21"/>
        </w:rPr>
        <w:t xml:space="preserve">Miao, Fengchun, and Wayne Holmes. 2023. </w:t>
      </w:r>
      <w:r>
        <w:rPr>
          <w:rFonts w:ascii="EB Garamond" w:hAnsi="EB Garamond" w:eastAsia="EB Garamond" w:cs="EB Garamond"/>
          <w:color w:val="1F2D33"/>
          <w:sz w:val="21"/>
          <w:b w:val="0"/>
          <w:bCs w:val="0"/>
          <w:i w:val="1"/>
          <w:iCs w:val="1"/>
          <w:szCs w:val="21"/>
        </w:rPr>
        <w:t xml:space="preserve">Guidance for Generative AI in Education and Research</w:t>
      </w:r>
      <w:r>
        <w:rPr>
          <w:rFonts w:ascii="EB Garamond" w:hAnsi="EB Garamond" w:eastAsia="EB Garamond" w:cs="EB Garamond"/>
          <w:color w:val="1F2D33"/>
          <w:sz w:val="21"/>
          <w:b w:val="0"/>
          <w:bCs w:val="0"/>
          <w:i w:val="0"/>
          <w:iCs w:val="0"/>
          <w:szCs w:val="21"/>
        </w:rPr>
        <w:t xml:space="preserve">. UNESCO. </w:t>
      </w:r>
      <w:hyperlink r:id="rId145">
        <w:r>
          <w:rPr>
            <w:rFonts w:ascii="EB Garamond" w:hAnsi="EB Garamond" w:eastAsia="EB Garamond" w:cs="EB Garamond"/>
            <w:color w:val="1F2D33"/>
            <w:sz w:val="21"/>
            <w:b w:val="0"/>
            <w:bCs w:val="0"/>
            <w:i w:val="0"/>
            <w:iCs w:val="0"/>
            <w:rStyle w:val="Hyperlink"/>
            <w:szCs w:val="21"/>
          </w:rPr>
          <w:t xml:space="preserve">https://unesdoc.unesco.org/ark:/48223/pf0000386693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guidance. Publication page: </w:t>
      </w:r>
      <w:hyperlink r:id="rId146">
        <w:r>
          <w:rPr>
            <w:rFonts w:ascii="EB Garamond" w:hAnsi="EB Garamond" w:eastAsia="EB Garamond" w:cs="EB Garamond"/>
            <w:color w:val="1F2D33"/>
            <w:sz w:val="21"/>
            <w:b w:val="0"/>
            <w:bCs w:val="0"/>
            <w:i w:val="0"/>
            <w:iCs w:val="0"/>
            <w:rStyle w:val="Hyperlink"/>
            <w:szCs w:val="21"/>
          </w:rPr>
          <w:t xml:space="preserve">https://www.unesco.org/en/articles/guidance-generative-ai-education-and-research</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Miao and Holmes 2023. Cited in: Note 21.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[SRC-ILO-GENAI-JOBS25] </w:t>
      </w:r>
      <w:r>
        <w:rPr>
          <w:rFonts w:ascii="EB Garamond" w:hAnsi="EB Garamond" w:eastAsia="EB Garamond" w:cs="EB Garamond"/>
          <w:color w:val="1F2D33"/>
          <w:sz w:val="21"/>
          <w:b w:val="0"/>
          <w:bCs w:val="0"/>
          <w:i w:val="0"/>
          <w:iCs w:val="0"/>
          <w:szCs w:val="21"/>
        </w:rPr>
        <w:t xml:space="preserve">Gmyrek, Paweł, Janine Berg, Karol Kamiński, Filip Konopczyński, Agnieszka Ładna, Balint Nafradi, Konrad Rosłaniec, and Marek Troszyński. 2025. </w:t>
      </w:r>
      <w:r>
        <w:rPr>
          <w:rFonts w:ascii="EB Garamond" w:hAnsi="EB Garamond" w:eastAsia="EB Garamond" w:cs="EB Garamond"/>
          <w:color w:val="1F2D33"/>
          <w:sz w:val="21"/>
          <w:b w:val="0"/>
          <w:bCs w:val="0"/>
          <w:i w:val="1"/>
          <w:iCs w:val="1"/>
          <w:szCs w:val="21"/>
        </w:rPr>
        <w:t xml:space="preserve">Generative AI and Jobs: A Refined Global Index of Occupational Exposure</w:t>
      </w:r>
      <w:r>
        <w:rPr>
          <w:rFonts w:ascii="EB Garamond" w:hAnsi="EB Garamond" w:eastAsia="EB Garamond" w:cs="EB Garamond"/>
          <w:color w:val="1F2D33"/>
          <w:sz w:val="21"/>
          <w:b w:val="0"/>
          <w:bCs w:val="0"/>
          <w:i w:val="0"/>
          <w:iCs w:val="0"/>
          <w:szCs w:val="21"/>
        </w:rPr>
        <w:t xml:space="preserve">. ILO Working Paper 140. </w:t>
      </w:r>
      <w:hyperlink r:id="rId147">
        <w:r>
          <w:rPr>
            <w:rFonts w:ascii="EB Garamond" w:hAnsi="EB Garamond" w:eastAsia="EB Garamond" w:cs="EB Garamond"/>
            <w:color w:val="1F2D33"/>
            <w:sz w:val="21"/>
            <w:b w:val="0"/>
            <w:bCs w:val="0"/>
            <w:i w:val="0"/>
            <w:iCs w:val="0"/>
            <w:rStyle w:val="Hyperlink"/>
            <w:szCs w:val="21"/>
          </w:rPr>
          <w:t xml:space="preserve">https://doi.org/10.54394/HETP0387</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research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Gmyrek et al. 2025. Cited in: Note 20.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[SRC-OHMAN-AFTERLIFE18] </w:t>
      </w:r>
      <w:r>
        <w:rPr>
          <w:rFonts w:ascii="EB Garamond" w:hAnsi="EB Garamond" w:eastAsia="EB Garamond" w:cs="EB Garamond"/>
          <w:color w:val="1F2D33"/>
          <w:sz w:val="21"/>
          <w:b w:val="0"/>
          <w:bCs w:val="0"/>
          <w:i w:val="0"/>
          <w:iCs w:val="0"/>
          <w:szCs w:val="21"/>
        </w:rPr>
        <w:t xml:space="preserve">Öhman, Carl, and Luciano Floridi. 2018. “An Ethical Framework for the Digital Afterlife Industry.” </w:t>
      </w:r>
      <w:r>
        <w:rPr>
          <w:rFonts w:ascii="EB Garamond" w:hAnsi="EB Garamond" w:eastAsia="EB Garamond" w:cs="EB Garamond"/>
          <w:color w:val="1F2D33"/>
          <w:sz w:val="21"/>
          <w:b w:val="0"/>
          <w:bCs w:val="0"/>
          <w:i w:val="1"/>
          <w:iCs w:val="1"/>
          <w:szCs w:val="21"/>
        </w:rPr>
        <w:t xml:space="preserve">Nature Human Behaviour</w:t>
      </w:r>
      <w:r>
        <w:rPr>
          <w:rFonts w:ascii="EB Garamond" w:hAnsi="EB Garamond" w:eastAsia="EB Garamond" w:cs="EB Garamond"/>
          <w:color w:val="1F2D33"/>
          <w:sz w:val="21"/>
          <w:b w:val="0"/>
          <w:bCs w:val="0"/>
          <w:i w:val="0"/>
          <w:iCs w:val="0"/>
          <w:szCs w:val="21"/>
        </w:rPr>
        <w:t xml:space="preserve"> 2: 318–320. </w:t>
      </w:r>
      <w:hyperlink r:id="rId148">
        <w:r>
          <w:rPr>
            <w:rFonts w:ascii="EB Garamond" w:hAnsi="EB Garamond" w:eastAsia="EB Garamond" w:cs="EB Garamond"/>
            <w:color w:val="1F2D33"/>
            <w:sz w:val="21"/>
            <w:b w:val="0"/>
            <w:bCs w:val="0"/>
            <w:i w:val="0"/>
            <w:iCs w:val="0"/>
            <w:rStyle w:val="Hyperlink"/>
            <w:szCs w:val="21"/>
          </w:rPr>
          <w:t xml:space="preserve">https://doi.org/10.1038/s41562-018-0335-2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Scientific article.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Öhman and Floridi 2018. Cited in: Note 48.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[SRC-UNCTAD-TIR25] </w:t>
      </w:r>
      <w:r>
        <w:rPr>
          <w:rFonts w:ascii="EB Garamond" w:hAnsi="EB Garamond" w:eastAsia="EB Garamond" w:cs="EB Garamond"/>
          <w:color w:val="1F2D33"/>
          <w:sz w:val="21"/>
          <w:b w:val="0"/>
          <w:bCs w:val="0"/>
          <w:i w:val="0"/>
          <w:iCs w:val="0"/>
          <w:szCs w:val="21"/>
        </w:rPr>
        <w:t xml:space="preserve">UN Trade and Development (UNCTAD). 2025. </w:t>
      </w:r>
      <w:r>
        <w:rPr>
          <w:rFonts w:ascii="EB Garamond" w:hAnsi="EB Garamond" w:eastAsia="EB Garamond" w:cs="EB Garamond"/>
          <w:color w:val="1F2D33"/>
          <w:sz w:val="21"/>
          <w:b w:val="0"/>
          <w:bCs w:val="0"/>
          <w:i w:val="1"/>
          <w:iCs w:val="1"/>
          <w:szCs w:val="21"/>
        </w:rPr>
        <w:t xml:space="preserve">Technology and Innovation Report 2025: Inclusive Artificial Intelligence for Development</w:t>
      </w:r>
      <w:r>
        <w:rPr>
          <w:rFonts w:ascii="EB Garamond" w:hAnsi="EB Garamond" w:eastAsia="EB Garamond" w:cs="EB Garamond"/>
          <w:color w:val="1F2D33"/>
          <w:sz w:val="21"/>
          <w:b w:val="0"/>
          <w:bCs w:val="0"/>
          <w:i w:val="0"/>
          <w:iCs w:val="0"/>
          <w:szCs w:val="21"/>
        </w:rPr>
        <w:t xml:space="preserve">. United Nations. </w:t>
      </w:r>
      <w:hyperlink r:id="rId149">
        <w:r>
          <w:rPr>
            <w:rFonts w:ascii="EB Garamond" w:hAnsi="EB Garamond" w:eastAsia="EB Garamond" w:cs="EB Garamond"/>
            <w:color w:val="1F2D33"/>
            <w:sz w:val="21"/>
            <w:b w:val="0"/>
            <w:bCs w:val="0"/>
            <w:i w:val="0"/>
            <w:iCs w:val="0"/>
            <w:rStyle w:val="Hyperlink"/>
            <w:szCs w:val="21"/>
          </w:rPr>
          <w:t xml:space="preserve">https://unctad.org/publication/technology-and-innovation-report-2025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UN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UNCTAD 2025.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[SRC-AUTOR-JOBS15] </w:t>
      </w:r>
      <w:r>
        <w:rPr>
          <w:rFonts w:ascii="EB Garamond" w:hAnsi="EB Garamond" w:eastAsia="EB Garamond" w:cs="EB Garamond"/>
          <w:color w:val="1F2D33"/>
          <w:sz w:val="21"/>
          <w:b w:val="0"/>
          <w:bCs w:val="0"/>
          <w:i w:val="0"/>
          <w:iCs w:val="0"/>
          <w:szCs w:val="21"/>
        </w:rPr>
        <w:t xml:space="preserve">Autor, David H. 2015. “Why Are There Still So Many Jobs? The History and Future of Workplace Automation.” </w:t>
      </w:r>
      <w:r>
        <w:rPr>
          <w:rFonts w:ascii="EB Garamond" w:hAnsi="EB Garamond" w:eastAsia="EB Garamond" w:cs="EB Garamond"/>
          <w:color w:val="1F2D33"/>
          <w:sz w:val="21"/>
          <w:b w:val="0"/>
          <w:bCs w:val="0"/>
          <w:i w:val="1"/>
          <w:iCs w:val="1"/>
          <w:szCs w:val="21"/>
        </w:rPr>
        <w:t xml:space="preserve">Journal of Economic Perspectives</w:t>
      </w:r>
      <w:r>
        <w:rPr>
          <w:rFonts w:ascii="EB Garamond" w:hAnsi="EB Garamond" w:eastAsia="EB Garamond" w:cs="EB Garamond"/>
          <w:color w:val="1F2D33"/>
          <w:sz w:val="21"/>
          <w:b w:val="0"/>
          <w:bCs w:val="0"/>
          <w:i w:val="0"/>
          <w:iCs w:val="0"/>
          <w:szCs w:val="21"/>
        </w:rPr>
        <w:t xml:space="preserve"> 29 (3): 3–30. </w:t>
      </w:r>
      <w:hyperlink r:id="rId211">
        <w:r>
          <w:rPr>
            <w:rFonts w:ascii="EB Garamond" w:hAnsi="EB Garamond" w:eastAsia="EB Garamond" w:cs="EB Garamond"/>
            <w:color w:val="1F2D33"/>
            <w:sz w:val="21"/>
            <w:b w:val="0"/>
            <w:bCs w:val="0"/>
            <w:i w:val="0"/>
            <w:iCs w:val="0"/>
            <w:rStyle w:val="Hyperlink"/>
            <w:szCs w:val="21"/>
          </w:rPr>
          <w:t xml:space="preserve">https://doi.org/10.1257/jep.29.3.3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economic analysis, not a forecast for 2050.</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Autor 2015. Cited in: Note 18.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[SRC-BASTANI-LEARNING25] </w:t>
      </w:r>
      <w:r>
        <w:rPr>
          <w:rFonts w:ascii="EB Garamond" w:hAnsi="EB Garamond" w:eastAsia="EB Garamond" w:cs="EB Garamond"/>
          <w:color w:val="1F2D33"/>
          <w:sz w:val="21"/>
          <w:b w:val="0"/>
          <w:bCs w:val="0"/>
          <w:i w:val="0"/>
          <w:iCs w:val="0"/>
          <w:szCs w:val="21"/>
        </w:rPr>
        <w:t xml:space="preserve">Bastani, Hamsa, Osbert Bastani, Alp Sungu, Haosen Ge, Özge Kabakcı, and Rei Mariman. 2025. “Generative AI without Guardrails Can Harm Learning: Evidence from High School Mathematics.” </w:t>
      </w:r>
      <w:r>
        <w:rPr>
          <w:rFonts w:ascii="EB Garamond" w:hAnsi="EB Garamond" w:eastAsia="EB Garamond" w:cs="EB Garamond"/>
          <w:color w:val="1F2D33"/>
          <w:sz w:val="21"/>
          <w:b w:val="0"/>
          <w:bCs w:val="0"/>
          <w:i w:val="1"/>
          <w:iCs w:val="1"/>
          <w:szCs w:val="21"/>
        </w:rPr>
        <w:t xml:space="preserve">Proceedings of the National Academy of Sciences</w:t>
      </w:r>
      <w:r>
        <w:rPr>
          <w:rFonts w:ascii="EB Garamond" w:hAnsi="EB Garamond" w:eastAsia="EB Garamond" w:cs="EB Garamond"/>
          <w:color w:val="1F2D33"/>
          <w:sz w:val="21"/>
          <w:b w:val="0"/>
          <w:bCs w:val="0"/>
          <w:i w:val="0"/>
          <w:iCs w:val="0"/>
          <w:szCs w:val="21"/>
        </w:rPr>
        <w:t xml:space="preserve"> 122 (26): e2422633122. </w:t>
      </w:r>
      <w:hyperlink r:id="rId212">
        <w:r>
          <w:rPr>
            <w:rFonts w:ascii="EB Garamond" w:hAnsi="EB Garamond" w:eastAsia="EB Garamond" w:cs="EB Garamond"/>
            <w:color w:val="1F2D33"/>
            <w:sz w:val="21"/>
            <w:b w:val="0"/>
            <w:bCs w:val="0"/>
            <w:i w:val="0"/>
            <w:iCs w:val="0"/>
            <w:rStyle w:val="Hyperlink"/>
            <w:szCs w:val="21"/>
          </w:rPr>
          <w:t xml:space="preserve">https://doi.org/10.1073/pnas.2422633122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randomized educational study; findings are specific to the tested setting and tools.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Bastani et al. 2025. Cited in: Note 22.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[SRC-BRADY-DIFFUSION17] </w:t>
      </w:r>
      <w:r>
        <w:rPr>
          <w:rFonts w:ascii="EB Garamond" w:hAnsi="EB Garamond" w:eastAsia="EB Garamond" w:cs="EB Garamond"/>
          <w:color w:val="1F2D33"/>
          <w:sz w:val="21"/>
          <w:b w:val="0"/>
          <w:bCs w:val="0"/>
          <w:i w:val="0"/>
          <w:iCs w:val="0"/>
          <w:szCs w:val="21"/>
        </w:rPr>
        <w:t xml:space="preserve">Brady, William J., Julian A. Wills, John T. Jost, Joshua A. Tucker, and Jay J. Van Bavel. 2017. “Emotion Shapes the Diffusion of Moralized Content in Social Networks.” </w:t>
      </w:r>
      <w:r>
        <w:rPr>
          <w:rFonts w:ascii="EB Garamond" w:hAnsi="EB Garamond" w:eastAsia="EB Garamond" w:cs="EB Garamond"/>
          <w:color w:val="1F2D33"/>
          <w:sz w:val="21"/>
          <w:b w:val="0"/>
          <w:bCs w:val="0"/>
          <w:i w:val="1"/>
          <w:iCs w:val="1"/>
          <w:szCs w:val="21"/>
        </w:rPr>
        <w:t xml:space="preserve">Proceedings of the National Academy of Sciences</w:t>
      </w:r>
      <w:r>
        <w:rPr>
          <w:rFonts w:ascii="EB Garamond" w:hAnsi="EB Garamond" w:eastAsia="EB Garamond" w:cs="EB Garamond"/>
          <w:color w:val="1F2D33"/>
          <w:sz w:val="21"/>
          <w:b w:val="0"/>
          <w:bCs w:val="0"/>
          <w:i w:val="0"/>
          <w:iCs w:val="0"/>
          <w:szCs w:val="21"/>
        </w:rPr>
        <w:t xml:space="preserve"> 114 (28): 7313–7318. </w:t>
      </w:r>
      <w:hyperlink r:id="rId213">
        <w:r>
          <w:rPr>
            <w:rFonts w:ascii="EB Garamond" w:hAnsi="EB Garamond" w:eastAsia="EB Garamond" w:cs="EB Garamond"/>
            <w:color w:val="1F2D33"/>
            <w:sz w:val="21"/>
            <w:b w:val="0"/>
            <w:bCs w:val="0"/>
            <w:i w:val="0"/>
            <w:iCs w:val="0"/>
            <w:rStyle w:val="Hyperlink"/>
            <w:szCs w:val="21"/>
          </w:rPr>
          <w:t xml:space="preserve">https://doi.org/10.1073/pnas.1618923114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observational study; association does not establish a platform algorithm as the cause.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Brady et al. 2017. Cited in: Note 29.</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[SRC-BRYNJOLFSSON-WORK25] </w:t>
      </w:r>
      <w:r>
        <w:rPr>
          <w:rFonts w:ascii="EB Garamond" w:hAnsi="EB Garamond" w:eastAsia="EB Garamond" w:cs="EB Garamond"/>
          <w:color w:val="1F2D33"/>
          <w:sz w:val="21"/>
          <w:b w:val="0"/>
          <w:bCs w:val="0"/>
          <w:i w:val="0"/>
          <w:iCs w:val="0"/>
          <w:szCs w:val="21"/>
        </w:rPr>
        <w:t xml:space="preserve">Brynjolfsson, Erik, Danielle Li, and Lindsey Raymond. 2025. “Generative AI at Work.” </w:t>
      </w:r>
      <w:r>
        <w:rPr>
          <w:rFonts w:ascii="EB Garamond" w:hAnsi="EB Garamond" w:eastAsia="EB Garamond" w:cs="EB Garamond"/>
          <w:color w:val="1F2D33"/>
          <w:sz w:val="21"/>
          <w:b w:val="0"/>
          <w:bCs w:val="0"/>
          <w:i w:val="1"/>
          <w:iCs w:val="1"/>
          <w:szCs w:val="21"/>
        </w:rPr>
        <w:t xml:space="preserve">Quarterly Journal of Economics</w:t>
      </w:r>
      <w:r>
        <w:rPr>
          <w:rFonts w:ascii="EB Garamond" w:hAnsi="EB Garamond" w:eastAsia="EB Garamond" w:cs="EB Garamond"/>
          <w:color w:val="1F2D33"/>
          <w:sz w:val="21"/>
          <w:b w:val="0"/>
          <w:bCs w:val="0"/>
          <w:i w:val="0"/>
          <w:iCs w:val="0"/>
          <w:szCs w:val="21"/>
        </w:rPr>
        <w:t xml:space="preserve"> 140 (2): 889–942. </w:t>
      </w:r>
      <w:hyperlink r:id="rId214">
        <w:r>
          <w:rPr>
            <w:rFonts w:ascii="EB Garamond" w:hAnsi="EB Garamond" w:eastAsia="EB Garamond" w:cs="EB Garamond"/>
            <w:color w:val="1F2D33"/>
            <w:sz w:val="21"/>
            <w:b w:val="0"/>
            <w:bCs w:val="0"/>
            <w:i w:val="0"/>
            <w:iCs w:val="0"/>
            <w:rStyle w:val="Hyperlink"/>
            <w:szCs w:val="21"/>
          </w:rPr>
          <w:t xml:space="preserve">https://doi.org/10.1093/qje/qjae044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workplace study; not evidence of economy-wide effects.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Brynjolfsson, Li, and Raymond 2025. Cited in: Note 19.</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[SRC-DEFREITAS-COMPANIONS25] </w:t>
      </w:r>
      <w:r>
        <w:rPr>
          <w:rFonts w:ascii="EB Garamond" w:hAnsi="EB Garamond" w:eastAsia="EB Garamond" w:cs="EB Garamond"/>
          <w:color w:val="1F2D33"/>
          <w:sz w:val="21"/>
          <w:b w:val="0"/>
          <w:bCs w:val="0"/>
          <w:i w:val="0"/>
          <w:iCs w:val="0"/>
          <w:szCs w:val="21"/>
        </w:rPr>
        <w:t xml:space="preserve">De Freitas, Julian, Zeliha Oğuz-Uğuralp, Ahmet Kaan Uğuralp, and Stefano Puntoni. 2026. “AI Companions Reduce Loneliness.” </w:t>
      </w:r>
      <w:r>
        <w:rPr>
          <w:rFonts w:ascii="EB Garamond" w:hAnsi="EB Garamond" w:eastAsia="EB Garamond" w:cs="EB Garamond"/>
          <w:color w:val="1F2D33"/>
          <w:sz w:val="21"/>
          <w:b w:val="0"/>
          <w:bCs w:val="0"/>
          <w:i w:val="1"/>
          <w:iCs w:val="1"/>
          <w:szCs w:val="21"/>
        </w:rPr>
        <w:t xml:space="preserve">Journal of Consumer Research</w:t>
      </w:r>
      <w:r>
        <w:rPr>
          <w:rFonts w:ascii="EB Garamond" w:hAnsi="EB Garamond" w:eastAsia="EB Garamond" w:cs="EB Garamond"/>
          <w:color w:val="1F2D33"/>
          <w:sz w:val="21"/>
          <w:b w:val="0"/>
          <w:bCs w:val="0"/>
          <w:i w:val="0"/>
          <w:iCs w:val="0"/>
          <w:szCs w:val="21"/>
        </w:rPr>
        <w:t xml:space="preserve"> 52 (6): 1126–1148. </w:t>
      </w:r>
      <w:hyperlink r:id="rId215">
        <w:r>
          <w:rPr>
            <w:rFonts w:ascii="EB Garamond" w:hAnsi="EB Garamond" w:eastAsia="EB Garamond" w:cs="EB Garamond"/>
            <w:color w:val="1F2D33"/>
            <w:sz w:val="21"/>
            <w:b w:val="0"/>
            <w:bCs w:val="0"/>
            <w:i w:val="0"/>
            <w:iCs w:val="0"/>
            <w:rStyle w:val="Hyperlink"/>
            <w:szCs w:val="21"/>
          </w:rPr>
          <w:t xml:space="preserve">https://doi.org/10.1093/jcr/ucaf040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study of short-term loneliness relief; not evidence of lasting clinical benefit.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De Freitas et al. 2026. Cited in: Note 33.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[SRC-DOSHI-CREATIVITY24] </w:t>
      </w:r>
      <w:r>
        <w:rPr>
          <w:rFonts w:ascii="EB Garamond" w:hAnsi="EB Garamond" w:eastAsia="EB Garamond" w:cs="EB Garamond"/>
          <w:color w:val="1F2D33"/>
          <w:sz w:val="21"/>
          <w:b w:val="0"/>
          <w:bCs w:val="0"/>
          <w:i w:val="0"/>
          <w:iCs w:val="0"/>
          <w:szCs w:val="21"/>
        </w:rPr>
        <w:t xml:space="preserve">Doshi, Anil R., and Oliver P. Hauser. 2024. “Generative AI Enhances Individual Creativity but Reduces the Collective Diversity of Novel Content.” </w:t>
      </w:r>
      <w:r>
        <w:rPr>
          <w:rFonts w:ascii="EB Garamond" w:hAnsi="EB Garamond" w:eastAsia="EB Garamond" w:cs="EB Garamond"/>
          <w:color w:val="1F2D33"/>
          <w:sz w:val="21"/>
          <w:b w:val="0"/>
          <w:bCs w:val="0"/>
          <w:i w:val="1"/>
          <w:iCs w:val="1"/>
          <w:szCs w:val="21"/>
        </w:rPr>
        <w:t xml:space="preserve">Science Advances</w:t>
      </w:r>
      <w:r>
        <w:rPr>
          <w:rFonts w:ascii="EB Garamond" w:hAnsi="EB Garamond" w:eastAsia="EB Garamond" w:cs="EB Garamond"/>
          <w:color w:val="1F2D33"/>
          <w:sz w:val="21"/>
          <w:b w:val="0"/>
          <w:bCs w:val="0"/>
          <w:i w:val="0"/>
          <w:iCs w:val="0"/>
          <w:szCs w:val="21"/>
        </w:rPr>
        <w:t xml:space="preserve"> 10 (28): eadn5290. </w:t>
      </w:r>
      <w:hyperlink r:id="rId216">
        <w:r>
          <w:rPr>
            <w:rFonts w:ascii="EB Garamond" w:hAnsi="EB Garamond" w:eastAsia="EB Garamond" w:cs="EB Garamond"/>
            <w:color w:val="1F2D33"/>
            <w:sz w:val="21"/>
            <w:b w:val="0"/>
            <w:bCs w:val="0"/>
            <w:i w:val="0"/>
            <w:iCs w:val="0"/>
            <w:rStyle w:val="Hyperlink"/>
            <w:szCs w:val="21"/>
          </w:rPr>
          <w:t xml:space="preserve">https://doi.org/10.1126/sciadv.adn5290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randomized creative-writing experiment; findings are specific to its design.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Doshi and Hauser 2024. Cited in: Note 31.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[SRC-FITZPATRICK-WOEBOT17] </w:t>
      </w:r>
      <w:r>
        <w:rPr>
          <w:rFonts w:ascii="EB Garamond" w:hAnsi="EB Garamond" w:eastAsia="EB Garamond" w:cs="EB Garamond"/>
          <w:color w:val="1F2D33"/>
          <w:sz w:val="21"/>
          <w:b w:val="0"/>
          <w:bCs w:val="0"/>
          <w:i w:val="0"/>
          <w:iCs w:val="0"/>
          <w:szCs w:val="21"/>
        </w:rPr>
        <w:t xml:space="preserve">Fitzpatrick, Kathleen Kara, Alison Darcy, and Molly Vierhile. 2017. “Delivering Cognitive Behavior Therapy to Young Adults with Symptoms of Depression and Anxiety Using a Fully Automated Conversational Agent (Woebot): A Randomized Controlled Trial.” </w:t>
      </w:r>
      <w:r>
        <w:rPr>
          <w:rFonts w:ascii="EB Garamond" w:hAnsi="EB Garamond" w:eastAsia="EB Garamond" w:cs="EB Garamond"/>
          <w:color w:val="1F2D33"/>
          <w:sz w:val="21"/>
          <w:b w:val="0"/>
          <w:bCs w:val="0"/>
          <w:i w:val="1"/>
          <w:iCs w:val="1"/>
          <w:szCs w:val="21"/>
        </w:rPr>
        <w:t xml:space="preserve">JMIR Mental Health</w:t>
      </w:r>
      <w:r>
        <w:rPr>
          <w:rFonts w:ascii="EB Garamond" w:hAnsi="EB Garamond" w:eastAsia="EB Garamond" w:cs="EB Garamond"/>
          <w:color w:val="1F2D33"/>
          <w:sz w:val="21"/>
          <w:b w:val="0"/>
          <w:bCs w:val="0"/>
          <w:i w:val="0"/>
          <w:iCs w:val="0"/>
          <w:szCs w:val="21"/>
        </w:rPr>
        <w:t xml:space="preserve"> 4 (2): e19. </w:t>
      </w:r>
      <w:hyperlink r:id="rId217">
        <w:r>
          <w:rPr>
            <w:rFonts w:ascii="EB Garamond" w:hAnsi="EB Garamond" w:eastAsia="EB Garamond" w:cs="EB Garamond"/>
            <w:color w:val="1F2D33"/>
            <w:sz w:val="21"/>
            <w:b w:val="0"/>
            <w:bCs w:val="0"/>
            <w:i w:val="0"/>
            <w:iCs w:val="0"/>
            <w:rStyle w:val="Hyperlink"/>
            <w:szCs w:val="21"/>
          </w:rPr>
          <w:t xml:space="preserve">https://doi.org/10.2196/mental.7785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randomized controlled trial of a structured chatbot; not an open-ended generative companion.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Fitzpatrick, Darcy, and Vierhile 2017. Cited in: Note 26.</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[SRC-HOLLANEK-AFTERLIFE24] </w:t>
      </w:r>
      <w:r>
        <w:rPr>
          <w:rFonts w:ascii="EB Garamond" w:hAnsi="EB Garamond" w:eastAsia="EB Garamond" w:cs="EB Garamond"/>
          <w:color w:val="1F2D33"/>
          <w:sz w:val="21"/>
          <w:b w:val="0"/>
          <w:bCs w:val="0"/>
          <w:i w:val="0"/>
          <w:iCs w:val="0"/>
          <w:szCs w:val="21"/>
        </w:rPr>
        <w:t xml:space="preserve">Hollanek, Tomasz, and Katarzyna Nowaczyk-Basińska. 2024. “Griefbots, Deadbots, Postmortem Avatars: On Responsible Applications of Generative AI in the Digital Afterlife Industry.” </w:t>
      </w:r>
      <w:r>
        <w:rPr>
          <w:rFonts w:ascii="EB Garamond" w:hAnsi="EB Garamond" w:eastAsia="EB Garamond" w:cs="EB Garamond"/>
          <w:color w:val="1F2D33"/>
          <w:sz w:val="21"/>
          <w:b w:val="0"/>
          <w:bCs w:val="0"/>
          <w:i w:val="1"/>
          <w:iCs w:val="1"/>
          <w:szCs w:val="21"/>
        </w:rPr>
        <w:t xml:space="preserve">Philosophy &amp; Technology</w:t>
      </w:r>
      <w:r>
        <w:rPr>
          <w:rFonts w:ascii="EB Garamond" w:hAnsi="EB Garamond" w:eastAsia="EB Garamond" w:cs="EB Garamond"/>
          <w:color w:val="1F2D33"/>
          <w:sz w:val="21"/>
          <w:b w:val="0"/>
          <w:bCs w:val="0"/>
          <w:i w:val="0"/>
          <w:iCs w:val="0"/>
          <w:szCs w:val="21"/>
        </w:rPr>
        <w:t xml:space="preserve"> 37: 63. </w:t>
      </w:r>
      <w:hyperlink r:id="rId218">
        <w:r>
          <w:rPr>
            <w:rFonts w:ascii="EB Garamond" w:hAnsi="EB Garamond" w:eastAsia="EB Garamond" w:cs="EB Garamond"/>
            <w:color w:val="1F2D33"/>
            <w:sz w:val="21"/>
            <w:b w:val="0"/>
            <w:bCs w:val="0"/>
            <w:i w:val="0"/>
            <w:iCs w:val="0"/>
            <w:rStyle w:val="Hyperlink"/>
            <w:szCs w:val="21"/>
          </w:rPr>
          <w:t xml:space="preserve">https://doi.org/10.1007/s13347-024-00744-w</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Peer-reviewed ethical analysis using speculative design, not a clinical outcome study.</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Hollanek and Nowaczyk-Basińska 2024. Cited in: Notes 47, 48.</w:t>
      </w:r>
    </w:p>
    <w:p>
      <w:pPr>
        <w:pStyle w:val="Heading1"/>
        <w:spacing w:line="460" w:lineRule="exact"/>
      </w:pPr>
      <w:r>
        <w:t>Energy, Materials, and the Geopolitics of Infrastructure</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[SRC-IEA-EAI25] </w:t>
      </w:r>
      <w:r>
        <w:rPr>
          <w:rFonts w:ascii="EB Garamond" w:hAnsi="EB Garamond" w:eastAsia="EB Garamond" w:cs="EB Garamond"/>
          <w:color w:val="1F2D33"/>
          <w:sz w:val="21"/>
          <w:b w:val="0"/>
          <w:bCs w:val="0"/>
          <w:i w:val="0"/>
          <w:iCs w:val="0"/>
          <w:szCs w:val="21"/>
        </w:rPr>
        <w:t xml:space="preserve">International Energy Agency (IEA). 2025a. </w:t>
      </w:r>
      <w:r>
        <w:rPr>
          <w:rFonts w:ascii="EB Garamond" w:hAnsi="EB Garamond" w:eastAsia="EB Garamond" w:cs="EB Garamond"/>
          <w:color w:val="1F2D33"/>
          <w:sz w:val="21"/>
          <w:b w:val="0"/>
          <w:bCs w:val="0"/>
          <w:i w:val="1"/>
          <w:iCs w:val="1"/>
          <w:szCs w:val="21"/>
        </w:rPr>
        <w:t xml:space="preserve">Energy and AI</w:t>
      </w:r>
      <w:r>
        <w:rPr>
          <w:rFonts w:ascii="EB Garamond" w:hAnsi="EB Garamond" w:eastAsia="EB Garamond" w:cs="EB Garamond"/>
          <w:color w:val="1F2D33"/>
          <w:sz w:val="21"/>
          <w:b w:val="0"/>
          <w:bCs w:val="0"/>
          <w:i w:val="0"/>
          <w:iCs w:val="0"/>
          <w:szCs w:val="21"/>
        </w:rPr>
        <w:t xml:space="preserve">. </w:t>
      </w:r>
      <w:hyperlink r:id="rId150">
        <w:r>
          <w:rPr>
            <w:rFonts w:ascii="EB Garamond" w:hAnsi="EB Garamond" w:eastAsia="EB Garamond" w:cs="EB Garamond"/>
            <w:color w:val="1F2D33"/>
            <w:sz w:val="21"/>
            <w:b w:val="0"/>
            <w:bCs w:val="0"/>
            <w:i w:val="0"/>
            <w:iCs w:val="0"/>
            <w:rStyle w:val="Hyperlink"/>
            <w:szCs w:val="21"/>
          </w:rPr>
          <w:t xml:space="preserve">https://www.iea.org/reports/energy-and-ai</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IEA 2025a. Cited in: Notes 37, 38, 39, 41.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[SRC-LBNL-DC24] </w:t>
      </w:r>
      <w:r>
        <w:rPr>
          <w:rFonts w:ascii="EB Garamond" w:hAnsi="EB Garamond" w:eastAsia="EB Garamond" w:cs="EB Garamond"/>
          <w:color w:val="1F2D33"/>
          <w:sz w:val="21"/>
          <w:b w:val="0"/>
          <w:bCs w:val="0"/>
          <w:i w:val="0"/>
          <w:iCs w:val="0"/>
          <w:szCs w:val="21"/>
        </w:rPr>
        <w:t xml:space="preserve">Shehabi, Arman, Sarah Josephine Smith, Alex Hubbard, Alexander Newkirk, Nuoa Lei, Md AbuBakar Siddik, Billie Holecek, Jonathan G. Koomey, Eric R. Masanet, and Dale A. Sartor. 2024. </w:t>
      </w:r>
      <w:r>
        <w:rPr>
          <w:rFonts w:ascii="EB Garamond" w:hAnsi="EB Garamond" w:eastAsia="EB Garamond" w:cs="EB Garamond"/>
          <w:color w:val="1F2D33"/>
          <w:sz w:val="21"/>
          <w:b w:val="0"/>
          <w:bCs w:val="0"/>
          <w:i w:val="1"/>
          <w:iCs w:val="1"/>
          <w:szCs w:val="21"/>
        </w:rPr>
        <w:t xml:space="preserve">2024 United States Data Center Energy Usage Report</w:t>
      </w:r>
      <w:r>
        <w:rPr>
          <w:rFonts w:ascii="EB Garamond" w:hAnsi="EB Garamond" w:eastAsia="EB Garamond" w:cs="EB Garamond"/>
          <w:color w:val="1F2D33"/>
          <w:sz w:val="21"/>
          <w:b w:val="0"/>
          <w:bCs w:val="0"/>
          <w:i w:val="0"/>
          <w:iCs w:val="0"/>
          <w:szCs w:val="21"/>
        </w:rPr>
        <w:t xml:space="preserve">. Lawrence Berkeley National Laboratory. </w:t>
      </w:r>
      <w:hyperlink r:id="rId231">
        <w:r>
          <w:rPr>
            <w:rFonts w:ascii="EB Garamond" w:hAnsi="EB Garamond" w:eastAsia="EB Garamond" w:cs="EB Garamond"/>
            <w:color w:val="1F2D33"/>
            <w:sz w:val="21"/>
            <w:b w:val="0"/>
            <w:bCs w:val="0"/>
            <w:i w:val="0"/>
            <w:iCs w:val="0"/>
            <w:rStyle w:val="Hyperlink"/>
            <w:szCs w:val="21"/>
          </w:rPr>
          <w:t xml:space="preserve">https://doi.org/10.71468/P1WC7Q</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technical report. DOI 10.71468/P1WC7Q. Additional resource links: </w:t>
      </w:r>
      <w:hyperlink r:id="rId151">
        <w:r>
          <w:rPr>
            <w:rFonts w:ascii="EB Garamond" w:hAnsi="EB Garamond" w:eastAsia="EB Garamond" w:cs="EB Garamond"/>
            <w:color w:val="1F2D33"/>
            <w:sz w:val="21"/>
            <w:b w:val="0"/>
            <w:bCs w:val="0"/>
            <w:i w:val="0"/>
            <w:iCs w:val="0"/>
            <w:rStyle w:val="Hyperlink"/>
            <w:szCs w:val="21"/>
          </w:rPr>
          <w:t xml:space="preserve">https://eta.lbl.gov/publications/2024-lbnl-data-center-energy-usage-report</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Shehabi et al. 2024. Cited in: Note 37.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[SRC-USGS-WATER] </w:t>
      </w:r>
      <w:r>
        <w:rPr>
          <w:rFonts w:ascii="EB Garamond" w:hAnsi="EB Garamond" w:eastAsia="EB Garamond" w:cs="EB Garamond"/>
          <w:color w:val="1F2D33"/>
          <w:sz w:val="21"/>
          <w:b w:val="0"/>
          <w:bCs w:val="0"/>
          <w:i w:val="0"/>
          <w:iCs w:val="0"/>
          <w:szCs w:val="21"/>
        </w:rPr>
        <w:t xml:space="preserve">U.S. Geological Survey (USGS). 2019. “Water-Use Terminology.” February 27, 2019. </w:t>
      </w:r>
      <w:hyperlink r:id="rId152">
        <w:r>
          <w:rPr>
            <w:rFonts w:ascii="EB Garamond" w:hAnsi="EB Garamond" w:eastAsia="EB Garamond" w:cs="EB Garamond"/>
            <w:color w:val="1F2D33"/>
            <w:sz w:val="21"/>
            <w:b w:val="0"/>
            <w:bCs w:val="0"/>
            <w:i w:val="0"/>
            <w:iCs w:val="0"/>
            <w:rStyle w:val="Hyperlink"/>
            <w:szCs w:val="21"/>
          </w:rPr>
          <w:t xml:space="preserve">https://www.usgs.gov/mission-areas/water-resources/science/water-use-terminology</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page. Accessed: 2026-07-15. Operational definitions of withdrawal and consumptive use.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USGS 2019. Cited in: Note 41.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[SRC-ISO-LCA14040-44] </w:t>
      </w:r>
      <w:r>
        <w:rPr>
          <w:rFonts w:ascii="EB Garamond" w:hAnsi="EB Garamond" w:eastAsia="EB Garamond" w:cs="EB Garamond"/>
          <w:color w:val="1F2D33"/>
          <w:sz w:val="21"/>
          <w:b w:val="0"/>
          <w:bCs w:val="0"/>
          <w:i w:val="0"/>
          <w:iCs w:val="0"/>
          <w:szCs w:val="21"/>
        </w:rPr>
        <w:t xml:space="preserve">International Organization for Standardization (ISO). 2006a. </w:t>
      </w:r>
      <w:r>
        <w:rPr>
          <w:rFonts w:ascii="EB Garamond" w:hAnsi="EB Garamond" w:eastAsia="EB Garamond" w:cs="EB Garamond"/>
          <w:color w:val="1F2D33"/>
          <w:sz w:val="21"/>
          <w:b w:val="0"/>
          <w:bCs w:val="0"/>
          <w:i w:val="1"/>
          <w:iCs w:val="1"/>
          <w:szCs w:val="21"/>
        </w:rPr>
        <w:t xml:space="preserve">Environmental Management: Life Cycle Assessment, Principles and Framework</w:t>
      </w:r>
      <w:r>
        <w:rPr>
          <w:rFonts w:ascii="EB Garamond" w:hAnsi="EB Garamond" w:eastAsia="EB Garamond" w:cs="EB Garamond"/>
          <w:color w:val="1F2D33"/>
          <w:sz w:val="21"/>
          <w:b w:val="0"/>
          <w:bCs w:val="0"/>
          <w:i w:val="0"/>
          <w:iCs w:val="0"/>
          <w:szCs w:val="21"/>
        </w:rPr>
        <w:t xml:space="preserve">. ISO 14040:2006. </w:t>
      </w:r>
      <w:hyperlink r:id="rId153">
        <w:r>
          <w:rPr>
            <w:rFonts w:ascii="EB Garamond" w:hAnsi="EB Garamond" w:eastAsia="EB Garamond" w:cs="EB Garamond"/>
            <w:color w:val="1F2D33"/>
            <w:sz w:val="21"/>
            <w:b w:val="0"/>
            <w:bCs w:val="0"/>
            <w:i w:val="0"/>
            <w:iCs w:val="0"/>
            <w:rStyle w:val="Hyperlink"/>
            <w:szCs w:val="21"/>
          </w:rPr>
          <w:t xml:space="preserve">https://www.iso.org/standard/37456.html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w:t>
      </w:r>
      <w:r>
        <w:rPr>
          <w:rFonts w:ascii="EB Garamond" w:hAnsi="EB Garamond" w:eastAsia="EB Garamond" w:cs="EB Garamond"/>
          <w:color w:val="1F2D33"/>
          <w:sz w:val="21"/>
          <w:b w:val="0"/>
          <w:bCs w:val="0"/>
          <w:i w:val="0"/>
          <w:iCs w:val="0"/>
          <w:szCs w:val="21"/>
        </w:rPr>
        <w:t xml:space="preserve">International Organization for Standardization (ISO). 2006b. </w:t>
      </w:r>
      <w:r>
        <w:rPr>
          <w:rFonts w:ascii="EB Garamond" w:hAnsi="EB Garamond" w:eastAsia="EB Garamond" w:cs="EB Garamond"/>
          <w:color w:val="1F2D33"/>
          <w:sz w:val="21"/>
          <w:b w:val="0"/>
          <w:bCs w:val="0"/>
          <w:i w:val="1"/>
          <w:iCs w:val="1"/>
          <w:szCs w:val="21"/>
        </w:rPr>
        <w:t xml:space="preserve">Environmental Management: Life Cycle Assessment, Requirements and Guidelines</w:t>
      </w:r>
      <w:r>
        <w:rPr>
          <w:rFonts w:ascii="EB Garamond" w:hAnsi="EB Garamond" w:eastAsia="EB Garamond" w:cs="EB Garamond"/>
          <w:color w:val="1F2D33"/>
          <w:sz w:val="21"/>
          <w:b w:val="0"/>
          <w:bCs w:val="0"/>
          <w:i w:val="0"/>
          <w:iCs w:val="0"/>
          <w:szCs w:val="21"/>
        </w:rPr>
        <w:t xml:space="preserve">. ISO 14044:2006. </w:t>
      </w:r>
      <w:hyperlink r:id="rId154">
        <w:r>
          <w:rPr>
            <w:rFonts w:ascii="EB Garamond" w:hAnsi="EB Garamond" w:eastAsia="EB Garamond" w:cs="EB Garamond"/>
            <w:color w:val="1F2D33"/>
            <w:sz w:val="21"/>
            <w:b w:val="0"/>
            <w:bCs w:val="0"/>
            <w:i w:val="0"/>
            <w:iCs w:val="0"/>
            <w:rStyle w:val="Hyperlink"/>
            <w:szCs w:val="21"/>
          </w:rPr>
          <w:t xml:space="preserve">https://www.iso.org/standard/38498.html</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Current editions confirmed in 2022. Methodological standards.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ISO 2006a; ISO 2006b. Cited in: Notes 36, 41.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[SRC-USGS-MCS26] </w:t>
      </w:r>
      <w:r>
        <w:rPr>
          <w:rFonts w:ascii="EB Garamond" w:hAnsi="EB Garamond" w:eastAsia="EB Garamond" w:cs="EB Garamond"/>
          <w:color w:val="1F2D33"/>
          <w:sz w:val="21"/>
          <w:b w:val="0"/>
          <w:bCs w:val="0"/>
          <w:i w:val="0"/>
          <w:iCs w:val="0"/>
          <w:szCs w:val="21"/>
        </w:rPr>
        <w:t xml:space="preserve">U.S. Geological Survey (USGS). 2026. </w:t>
      </w:r>
      <w:r>
        <w:rPr>
          <w:rFonts w:ascii="EB Garamond" w:hAnsi="EB Garamond" w:eastAsia="EB Garamond" w:cs="EB Garamond"/>
          <w:color w:val="1F2D33"/>
          <w:sz w:val="21"/>
          <w:b w:val="0"/>
          <w:bCs w:val="0"/>
          <w:i w:val="1"/>
          <w:iCs w:val="1"/>
          <w:szCs w:val="21"/>
        </w:rPr>
        <w:t xml:space="preserve">Mineral Commodity Summaries 2026</w:t>
      </w:r>
      <w:r>
        <w:rPr>
          <w:rFonts w:ascii="EB Garamond" w:hAnsi="EB Garamond" w:eastAsia="EB Garamond" w:cs="EB Garamond"/>
          <w:color w:val="1F2D33"/>
          <w:sz w:val="21"/>
          <w:b w:val="0"/>
          <w:bCs w:val="0"/>
          <w:i w:val="0"/>
          <w:iCs w:val="0"/>
          <w:szCs w:val="21"/>
        </w:rPr>
        <w:t xml:space="preserve">. </w:t>
      </w:r>
      <w:hyperlink r:id="rId155">
        <w:r>
          <w:rPr>
            <w:rFonts w:ascii="EB Garamond" w:hAnsi="EB Garamond" w:eastAsia="EB Garamond" w:cs="EB Garamond"/>
            <w:color w:val="1F2D33"/>
            <w:sz w:val="21"/>
            <w:b w:val="0"/>
            <w:bCs w:val="0"/>
            <w:i w:val="0"/>
            <w:iCs w:val="0"/>
            <w:rStyle w:val="Hyperlink"/>
            <w:szCs w:val="21"/>
          </w:rPr>
          <w:t xml:space="preserve">https://doi.org/10.3133/mcs2026</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USGS 2026. Cited in: Note 40.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[SRC-IEA-CM25] </w:t>
      </w:r>
      <w:r>
        <w:rPr>
          <w:rFonts w:ascii="EB Garamond" w:hAnsi="EB Garamond" w:eastAsia="EB Garamond" w:cs="EB Garamond"/>
          <w:color w:val="1F2D33"/>
          <w:sz w:val="21"/>
          <w:b w:val="0"/>
          <w:bCs w:val="0"/>
          <w:i w:val="0"/>
          <w:iCs w:val="0"/>
          <w:szCs w:val="21"/>
        </w:rPr>
        <w:t xml:space="preserve">International Energy Agency (IEA). 2025b. </w:t>
      </w:r>
      <w:r>
        <w:rPr>
          <w:rFonts w:ascii="EB Garamond" w:hAnsi="EB Garamond" w:eastAsia="EB Garamond" w:cs="EB Garamond"/>
          <w:color w:val="1F2D33"/>
          <w:sz w:val="21"/>
          <w:b w:val="0"/>
          <w:bCs w:val="0"/>
          <w:i w:val="1"/>
          <w:iCs w:val="1"/>
          <w:szCs w:val="21"/>
        </w:rPr>
        <w:t xml:space="preserve">Global Critical Minerals Outlook 2025</w:t>
      </w:r>
      <w:r>
        <w:rPr>
          <w:rFonts w:ascii="EB Garamond" w:hAnsi="EB Garamond" w:eastAsia="EB Garamond" w:cs="EB Garamond"/>
          <w:color w:val="1F2D33"/>
          <w:sz w:val="21"/>
          <w:b w:val="0"/>
          <w:bCs w:val="0"/>
          <w:i w:val="0"/>
          <w:iCs w:val="0"/>
          <w:szCs w:val="21"/>
        </w:rPr>
        <w:t xml:space="preserve">. </w:t>
      </w:r>
      <w:hyperlink r:id="rId156">
        <w:r>
          <w:rPr>
            <w:rFonts w:ascii="EB Garamond" w:hAnsi="EB Garamond" w:eastAsia="EB Garamond" w:cs="EB Garamond"/>
            <w:color w:val="1F2D33"/>
            <w:sz w:val="21"/>
            <w:b w:val="0"/>
            <w:bCs w:val="0"/>
            <w:i w:val="0"/>
            <w:iCs w:val="0"/>
            <w:rStyle w:val="Hyperlink"/>
            <w:szCs w:val="21"/>
          </w:rPr>
          <w:t xml:space="preserve">https://www.iea.org/reports/global-critical-minerals-outlook-2025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IEA 2025b. Cited in: Note 40.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[SRC-UNITAR-EW24] </w:t>
      </w:r>
      <w:r>
        <w:rPr>
          <w:rFonts w:ascii="EB Garamond" w:hAnsi="EB Garamond" w:eastAsia="EB Garamond" w:cs="EB Garamond"/>
          <w:color w:val="1F2D33"/>
          <w:sz w:val="21"/>
          <w:b w:val="0"/>
          <w:bCs w:val="0"/>
          <w:i w:val="0"/>
          <w:iCs w:val="0"/>
          <w:szCs w:val="21"/>
        </w:rPr>
        <w:t xml:space="preserve">Baldé, Cornelis P., Ruediger Kuehr, Tales Yamamoto, Rosie McDonald, Elena D’Angelo, Shahana Althaf, Garam Bel, et al. 2024. </w:t>
      </w:r>
      <w:r>
        <w:rPr>
          <w:rFonts w:ascii="EB Garamond" w:hAnsi="EB Garamond" w:eastAsia="EB Garamond" w:cs="EB Garamond"/>
          <w:color w:val="1F2D33"/>
          <w:sz w:val="21"/>
          <w:b w:val="0"/>
          <w:bCs w:val="0"/>
          <w:i w:val="1"/>
          <w:iCs w:val="1"/>
          <w:szCs w:val="21"/>
        </w:rPr>
        <w:t xml:space="preserve">The Global E-Waste Monitor 2024</w:t>
      </w:r>
      <w:r>
        <w:rPr>
          <w:rFonts w:ascii="EB Garamond" w:hAnsi="EB Garamond" w:eastAsia="EB Garamond" w:cs="EB Garamond"/>
          <w:color w:val="1F2D33"/>
          <w:sz w:val="21"/>
          <w:b w:val="0"/>
          <w:bCs w:val="0"/>
          <w:i w:val="0"/>
          <w:iCs w:val="0"/>
          <w:szCs w:val="21"/>
        </w:rPr>
        <w:t xml:space="preserve">. 2nd ed. International Telecommunication Union and United Nations Institute for Training and Research. </w:t>
      </w:r>
      <w:hyperlink r:id="rId232">
        <w:r>
          <w:rPr>
            <w:rFonts w:ascii="EB Garamond" w:hAnsi="EB Garamond" w:eastAsia="EB Garamond" w:cs="EB Garamond"/>
            <w:color w:val="1F2D33"/>
            <w:sz w:val="21"/>
            <w:b w:val="0"/>
            <w:bCs w:val="0"/>
            <w:i w:val="0"/>
            <w:iCs w:val="0"/>
            <w:rStyle w:val="Hyperlink"/>
            <w:szCs w:val="21"/>
          </w:rPr>
          <w:t xml:space="preserve">https://ewastemonitor.info/the-global-e-waste-monitor-2024/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UN report. Additional resource links: </w:t>
      </w:r>
      <w:hyperlink r:id="rId157">
        <w:r>
          <w:rPr>
            <w:rFonts w:ascii="EB Garamond" w:hAnsi="EB Garamond" w:eastAsia="EB Garamond" w:cs="EB Garamond"/>
            <w:color w:val="1F2D33"/>
            <w:sz w:val="21"/>
            <w:b w:val="0"/>
            <w:bCs w:val="0"/>
            <w:i w:val="0"/>
            <w:iCs w:val="0"/>
            <w:rStyle w:val="Hyperlink"/>
            <w:szCs w:val="21"/>
          </w:rPr>
          <w:t xml:space="preserve">https://www.itu.int/hub/publication/d-gen-e_waste-01-2024/</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Baldé et al. 2024. Cited in: Note 40.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[SRC-STARCLOUD1-25] </w:t>
      </w:r>
      <w:r>
        <w:rPr>
          <w:rFonts w:ascii="EB Garamond" w:hAnsi="EB Garamond" w:eastAsia="EB Garamond" w:cs="EB Garamond"/>
          <w:color w:val="1F2D33"/>
          <w:sz w:val="21"/>
          <w:b w:val="0"/>
          <w:bCs w:val="0"/>
          <w:i w:val="0"/>
          <w:iCs w:val="0"/>
          <w:szCs w:val="21"/>
        </w:rPr>
        <w:t xml:space="preserve">Starcloud. n.d. “Starcloud-1.” </w:t>
      </w:r>
      <w:hyperlink r:id="rId158">
        <w:r>
          <w:rPr>
            <w:rFonts w:ascii="EB Garamond" w:hAnsi="EB Garamond" w:eastAsia="EB Garamond" w:cs="EB Garamond"/>
            <w:color w:val="1F2D33"/>
            <w:sz w:val="21"/>
            <w:b w:val="0"/>
            <w:bCs w:val="0"/>
            <w:i w:val="0"/>
            <w:iCs w:val="0"/>
            <w:rStyle w:val="Hyperlink"/>
            <w:szCs w:val="21"/>
          </w:rPr>
          <w:t xml:space="preserve">https://www.starcloud.com/starcloud-1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Corporate page about its own activities; states that the satellite was launched in 2025-11, without demonstrating scale or commercial viability.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Starcloud n.d..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[SRC-AXIOM-ODC26] </w:t>
      </w:r>
      <w:r>
        <w:rPr>
          <w:rFonts w:ascii="EB Garamond" w:hAnsi="EB Garamond" w:eastAsia="EB Garamond" w:cs="EB Garamond"/>
          <w:color w:val="1F2D33"/>
          <w:sz w:val="21"/>
          <w:b w:val="0"/>
          <w:bCs w:val="0"/>
          <w:i w:val="0"/>
          <w:iCs w:val="0"/>
          <w:szCs w:val="21"/>
        </w:rPr>
        <w:t xml:space="preserve">Axiom Space. n.d. “Orbital Data Centers.” </w:t>
      </w:r>
      <w:hyperlink r:id="rId159">
        <w:r>
          <w:rPr>
            <w:rFonts w:ascii="EB Garamond" w:hAnsi="EB Garamond" w:eastAsia="EB Garamond" w:cs="EB Garamond"/>
            <w:color w:val="1F2D33"/>
            <w:sz w:val="21"/>
            <w:b w:val="0"/>
            <w:bCs w:val="0"/>
            <w:i w:val="0"/>
            <w:iCs w:val="0"/>
            <w:rStyle w:val="Hyperlink"/>
            <w:szCs w:val="21"/>
          </w:rPr>
          <w:t xml:space="preserve">https://www.axiomspace.com/orbital-data-center</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Corporate page about its own activities; states that the first two dedicated nodes were launched into low Earth orbit on 2026-01-11.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Axiom Space n.d..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[SRC-GOOGLE-SUNCATCHER25] </w:t>
      </w:r>
      <w:r>
        <w:rPr>
          <w:rFonts w:ascii="EB Garamond" w:hAnsi="EB Garamond" w:eastAsia="EB Garamond" w:cs="EB Garamond"/>
          <w:color w:val="1F2D33"/>
          <w:sz w:val="21"/>
          <w:b w:val="0"/>
          <w:bCs w:val="0"/>
          <w:i w:val="0"/>
          <w:iCs w:val="0"/>
          <w:szCs w:val="21"/>
        </w:rPr>
        <w:t xml:space="preserve">Beals, Travis. 2025. “Exploring a Space-Based, Scalable AI Infrastructure System Design.” November 4, 2025. Google Research. </w:t>
      </w:r>
      <w:hyperlink r:id="rId160">
        <w:r>
          <w:rPr>
            <w:rFonts w:ascii="EB Garamond" w:hAnsi="EB Garamond" w:eastAsia="EB Garamond" w:cs="EB Garamond"/>
            <w:color w:val="1F2D33"/>
            <w:sz w:val="21"/>
            <w:b w:val="0"/>
            <w:bCs w:val="0"/>
            <w:i w:val="0"/>
            <w:iCs w:val="0"/>
            <w:rStyle w:val="Hyperlink"/>
            <w:szCs w:val="21"/>
          </w:rPr>
          <w:t xml:space="preserve">https://research.google/blog/exploring-a-space-based-scalable-ai-infrastructure-system-design/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Corporate announcement of Project Suncatcher; the two prototype satellites planned for early 2027 remain an announced project, not a completed launch.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Beals 2025.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[SRC-CORDIS-ASCEND] </w:t>
      </w:r>
      <w:r>
        <w:rPr>
          <w:rFonts w:ascii="EB Garamond" w:hAnsi="EB Garamond" w:eastAsia="EB Garamond" w:cs="EB Garamond"/>
          <w:color w:val="1F2D33"/>
          <w:sz w:val="21"/>
          <w:b w:val="0"/>
          <w:bCs w:val="0"/>
          <w:i w:val="0"/>
          <w:iCs w:val="0"/>
          <w:szCs w:val="21"/>
        </w:rPr>
        <w:t xml:space="preserve">European Commission, CORDIS. 2026. “Advanced Space Cloud for European Net Zero Emissions and Data Sovereignty (ASCEND), Grant Agreement 101082517: Periodic Reporting.” January 14, 2026. </w:t>
      </w:r>
      <w:hyperlink r:id="rId162">
        <w:r>
          <w:rPr>
            <w:rFonts w:ascii="EB Garamond" w:hAnsi="EB Garamond" w:eastAsia="EB Garamond" w:cs="EB Garamond"/>
            <w:color w:val="1F2D33"/>
            <w:sz w:val="21"/>
            <w:b w:val="0"/>
            <w:bCs w:val="0"/>
            <w:i w:val="0"/>
            <w:iCs w:val="0"/>
            <w:rStyle w:val="Hyperlink"/>
            <w:szCs w:val="21"/>
          </w:rPr>
          <w:t xml:space="preserve">https://cordis.europa.eu/project/id/101082517/reporting</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feasibility fact sheet and report; not an independent technical source. Project DOI 10.3030/101082517. Accessed: 2026-07-17. Additional resource links: </w:t>
      </w:r>
      <w:hyperlink r:id="rId161">
        <w:r>
          <w:rPr>
            <w:rFonts w:ascii="EB Garamond" w:hAnsi="EB Garamond" w:eastAsia="EB Garamond" w:cs="EB Garamond"/>
            <w:color w:val="1F2D33"/>
            <w:sz w:val="21"/>
            <w:b w:val="0"/>
            <w:bCs w:val="0"/>
            <w:i w:val="0"/>
            <w:iCs w:val="0"/>
            <w:rStyle w:val="Hyperlink"/>
            <w:szCs w:val="21"/>
          </w:rPr>
          <w:t xml:space="preserve">https://cordis.europa.eu/project/id/101082517</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CORDIS 2026.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[SRC-TURYSHEV-ODC26] </w:t>
      </w:r>
      <w:r>
        <w:rPr>
          <w:rFonts w:ascii="EB Garamond" w:hAnsi="EB Garamond" w:eastAsia="EB Garamond" w:cs="EB Garamond"/>
          <w:color w:val="1F2D33"/>
          <w:sz w:val="21"/>
          <w:b w:val="0"/>
          <w:bCs w:val="0"/>
          <w:i w:val="0"/>
          <w:iCs w:val="0"/>
          <w:szCs w:val="21"/>
        </w:rPr>
        <w:t xml:space="preserve">Turyshev, Slava G. 2026. </w:t>
      </w:r>
      <w:r>
        <w:rPr>
          <w:rFonts w:ascii="EB Garamond" w:hAnsi="EB Garamond" w:eastAsia="EB Garamond" w:cs="EB Garamond"/>
          <w:color w:val="1F2D33"/>
          <w:sz w:val="21"/>
          <w:b w:val="0"/>
          <w:bCs w:val="0"/>
          <w:i w:val="1"/>
          <w:iCs w:val="1"/>
          <w:szCs w:val="21"/>
        </w:rPr>
        <w:t xml:space="preserve">Orbital Data Centers: Spacecraft Constraints and Economic Viability</w:t>
      </w:r>
      <w:r>
        <w:rPr>
          <w:rFonts w:ascii="EB Garamond" w:hAnsi="EB Garamond" w:eastAsia="EB Garamond" w:cs="EB Garamond"/>
          <w:color w:val="1F2D33"/>
          <w:sz w:val="21"/>
          <w:b w:val="0"/>
          <w:bCs w:val="0"/>
          <w:i w:val="0"/>
          <w:iCs w:val="0"/>
          <w:szCs w:val="21"/>
        </w:rPr>
        <w:t xml:space="preserve">. Preprint, arXiv:2604.27197v1, April 29, 2026. </w:t>
      </w:r>
      <w:hyperlink r:id="rId164">
        <w:r>
          <w:rPr>
            <w:rFonts w:ascii="EB Garamond" w:hAnsi="EB Garamond" w:eastAsia="EB Garamond" w:cs="EB Garamond"/>
            <w:color w:val="1F2D33"/>
            <w:sz w:val="21"/>
            <w:b w:val="0"/>
            <w:bCs w:val="0"/>
            <w:i w:val="0"/>
            <w:iCs w:val="0"/>
            <w:rStyle w:val="Hyperlink"/>
            <w:szCs w:val="21"/>
          </w:rPr>
          <w:t xml:space="preserve">https://doi.org/10.48550/arXiv.2604.27197</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Independent technical preprint, arXiv:2604.27197. DOI 10.48550/arXiv.2604.27197. Accessed: 2026-07-17. Additional resource links: </w:t>
      </w:r>
      <w:hyperlink r:id="rId163">
        <w:r>
          <w:rPr>
            <w:rFonts w:ascii="EB Garamond" w:hAnsi="EB Garamond" w:eastAsia="EB Garamond" w:cs="EB Garamond"/>
            <w:color w:val="1F2D33"/>
            <w:sz w:val="21"/>
            <w:b w:val="0"/>
            <w:bCs w:val="0"/>
            <w:i w:val="0"/>
            <w:iCs w:val="0"/>
            <w:rStyle w:val="Hyperlink"/>
            <w:szCs w:val="21"/>
          </w:rPr>
          <w:t xml:space="preserve">https://arxiv.org/abs/2604.27197</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Turyshev 2026.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[SRC-ALAHMAD-SBDC26] </w:t>
      </w:r>
      <w:r>
        <w:rPr>
          <w:rFonts w:ascii="EB Garamond" w:hAnsi="EB Garamond" w:eastAsia="EB Garamond" w:cs="EB Garamond"/>
          <w:color w:val="1F2D33"/>
          <w:sz w:val="21"/>
          <w:b w:val="0"/>
          <w:bCs w:val="0"/>
          <w:i w:val="0"/>
          <w:iCs w:val="0"/>
          <w:szCs w:val="21"/>
        </w:rPr>
        <w:t xml:space="preserve">Al Ahmad, Mahmoud, Qurban Memon, and Michael Pecht. 2026. “Reliability and Risk in Space-Based Data Centers: A Lifecycle Assessment of Orbital Cloud Infrastructure.” </w:t>
      </w:r>
      <w:r>
        <w:rPr>
          <w:rFonts w:ascii="EB Garamond" w:hAnsi="EB Garamond" w:eastAsia="EB Garamond" w:cs="EB Garamond"/>
          <w:color w:val="1F2D33"/>
          <w:sz w:val="21"/>
          <w:b w:val="0"/>
          <w:bCs w:val="0"/>
          <w:i w:val="1"/>
          <w:iCs w:val="1"/>
          <w:szCs w:val="21"/>
        </w:rPr>
        <w:t xml:space="preserve">Applied Sciences</w:t>
      </w:r>
      <w:r>
        <w:rPr>
          <w:rFonts w:ascii="EB Garamond" w:hAnsi="EB Garamond" w:eastAsia="EB Garamond" w:cs="EB Garamond"/>
          <w:color w:val="1F2D33"/>
          <w:sz w:val="21"/>
          <w:b w:val="0"/>
          <w:bCs w:val="0"/>
          <w:i w:val="0"/>
          <w:iCs w:val="0"/>
          <w:szCs w:val="21"/>
        </w:rPr>
        <w:t xml:space="preserve"> 16 (11): 5247. </w:t>
      </w:r>
      <w:hyperlink r:id="rId166">
        <w:r>
          <w:rPr>
            <w:rFonts w:ascii="EB Garamond" w:hAnsi="EB Garamond" w:eastAsia="EB Garamond" w:cs="EB Garamond"/>
            <w:color w:val="1F2D33"/>
            <w:sz w:val="21"/>
            <w:b w:val="0"/>
            <w:bCs w:val="0"/>
            <w:i w:val="0"/>
            <w:iCs w:val="0"/>
            <w:rStyle w:val="Hyperlink"/>
            <w:szCs w:val="21"/>
          </w:rPr>
          <w:t xml:space="preserve">https://doi.org/10.3390/app16115247</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Independent peer-reviewed technical article. DOI 10.3390/app16115247. Accessed: 2026-07-17. Additional resource links: </w:t>
      </w:r>
      <w:hyperlink r:id="rId165">
        <w:r>
          <w:rPr>
            <w:rFonts w:ascii="EB Garamond" w:hAnsi="EB Garamond" w:eastAsia="EB Garamond" w:cs="EB Garamond"/>
            <w:color w:val="1F2D33"/>
            <w:sz w:val="21"/>
            <w:b w:val="0"/>
            <w:bCs w:val="0"/>
            <w:i w:val="0"/>
            <w:iCs w:val="0"/>
            <w:rStyle w:val="Hyperlink"/>
            <w:szCs w:val="21"/>
          </w:rPr>
          <w:t xml:space="preserve">https://www.mdpi.com/2076-3417/16/11/5247</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Al Ahmad, Memon, and Pecht 2026.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[SRC-WILSON-LCSA23] </w:t>
      </w:r>
      <w:r>
        <w:rPr>
          <w:rFonts w:ascii="EB Garamond" w:hAnsi="EB Garamond" w:eastAsia="EB Garamond" w:cs="EB Garamond"/>
          <w:color w:val="1F2D33"/>
          <w:sz w:val="21"/>
          <w:b w:val="0"/>
          <w:bCs w:val="0"/>
          <w:i w:val="0"/>
          <w:iCs w:val="0"/>
          <w:szCs w:val="21"/>
        </w:rPr>
        <w:t xml:space="preserve">Wilson, Andrew R., Massimiliano Vasile, Christie Maddock, and Keith Baker. 2023. “Implementing Life Cycle Sustainability Assessment for Improved Space Mission Design.” </w:t>
      </w:r>
      <w:r>
        <w:rPr>
          <w:rFonts w:ascii="EB Garamond" w:hAnsi="EB Garamond" w:eastAsia="EB Garamond" w:cs="EB Garamond"/>
          <w:color w:val="1F2D33"/>
          <w:sz w:val="21"/>
          <w:b w:val="0"/>
          <w:bCs w:val="0"/>
          <w:i w:val="1"/>
          <w:iCs w:val="1"/>
          <w:szCs w:val="21"/>
        </w:rPr>
        <w:t xml:space="preserve">Integrated Environmental Assessment and Management</w:t>
      </w:r>
      <w:r>
        <w:rPr>
          <w:rFonts w:ascii="EB Garamond" w:hAnsi="EB Garamond" w:eastAsia="EB Garamond" w:cs="EB Garamond"/>
          <w:color w:val="1F2D33"/>
          <w:sz w:val="21"/>
          <w:b w:val="0"/>
          <w:bCs w:val="0"/>
          <w:i w:val="0"/>
          <w:iCs w:val="0"/>
          <w:szCs w:val="21"/>
        </w:rPr>
        <w:t xml:space="preserve"> 19 (4): 1002–1022. </w:t>
      </w:r>
      <w:hyperlink r:id="rId168">
        <w:r>
          <w:rPr>
            <w:rFonts w:ascii="EB Garamond" w:hAnsi="EB Garamond" w:eastAsia="EB Garamond" w:cs="EB Garamond"/>
            <w:color w:val="1F2D33"/>
            <w:sz w:val="21"/>
            <w:b w:val="0"/>
            <w:bCs w:val="0"/>
            <w:i w:val="0"/>
            <w:iCs w:val="0"/>
            <w:rStyle w:val="Hyperlink"/>
            <w:szCs w:val="21"/>
          </w:rPr>
          <w:t xml:space="preserve">https://doi.org/10.1002/ieam.4722</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Independent peer-reviewed technical article. DOI 10.1002/ieam.4722. Accessed: 2026-07-17. Additional resource links: </w:t>
      </w:r>
      <w:hyperlink r:id="rId167">
        <w:r>
          <w:rPr>
            <w:rFonts w:ascii="EB Garamond" w:hAnsi="EB Garamond" w:eastAsia="EB Garamond" w:cs="EB Garamond"/>
            <w:color w:val="1F2D33"/>
            <w:sz w:val="21"/>
            <w:b w:val="0"/>
            <w:bCs w:val="0"/>
            <w:i w:val="0"/>
            <w:iCs w:val="0"/>
            <w:rStyle w:val="Hyperlink"/>
            <w:szCs w:val="21"/>
          </w:rPr>
          <w:t xml:space="preserve">https://onlinelibrary.wiley.com/doi/10.1002/ieam.4722</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Wilson et al. 2023.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[SRC-MURPHY-REENTRY23] </w:t>
      </w:r>
      <w:r>
        <w:rPr>
          <w:rFonts w:ascii="EB Garamond" w:hAnsi="EB Garamond" w:eastAsia="EB Garamond" w:cs="EB Garamond"/>
          <w:color w:val="1F2D33"/>
          <w:sz w:val="21"/>
          <w:b w:val="0"/>
          <w:bCs w:val="0"/>
          <w:i w:val="0"/>
          <w:iCs w:val="0"/>
          <w:szCs w:val="21"/>
        </w:rPr>
        <w:t xml:space="preserve">Murphy, Daniel M., Maya Abou-Ghanem, Daniel J. Cziczo, Karl D. Froyd, Justin Jacquot, Michael J. Lawler, Christopher Maloney, et al. 2023. “Metals from Spacecraft Reentry in Stratospheric Aerosol Particles.” </w:t>
      </w:r>
      <w:r>
        <w:rPr>
          <w:rFonts w:ascii="EB Garamond" w:hAnsi="EB Garamond" w:eastAsia="EB Garamond" w:cs="EB Garamond"/>
          <w:color w:val="1F2D33"/>
          <w:sz w:val="21"/>
          <w:b w:val="0"/>
          <w:bCs w:val="0"/>
          <w:i w:val="1"/>
          <w:iCs w:val="1"/>
          <w:szCs w:val="21"/>
        </w:rPr>
        <w:t xml:space="preserve">Proceedings of the National Academy of Sciences</w:t>
      </w:r>
      <w:r>
        <w:rPr>
          <w:rFonts w:ascii="EB Garamond" w:hAnsi="EB Garamond" w:eastAsia="EB Garamond" w:cs="EB Garamond"/>
          <w:color w:val="1F2D33"/>
          <w:sz w:val="21"/>
          <w:b w:val="0"/>
          <w:bCs w:val="0"/>
          <w:i w:val="0"/>
          <w:iCs w:val="0"/>
          <w:szCs w:val="21"/>
        </w:rPr>
        <w:t xml:space="preserve"> 120 (43): e2313374120. </w:t>
      </w:r>
      <w:hyperlink r:id="rId170">
        <w:r>
          <w:rPr>
            <w:rFonts w:ascii="EB Garamond" w:hAnsi="EB Garamond" w:eastAsia="EB Garamond" w:cs="EB Garamond"/>
            <w:color w:val="1F2D33"/>
            <w:sz w:val="21"/>
            <w:b w:val="0"/>
            <w:bCs w:val="0"/>
            <w:i w:val="0"/>
            <w:iCs w:val="0"/>
            <w:rStyle w:val="Hyperlink"/>
            <w:szCs w:val="21"/>
          </w:rPr>
          <w:t xml:space="preserve">https://doi.org/10.1073/pnas.2313374120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Independent peer-reviewed scientific article; copy in NOAA’s institutional repository. DOI 10.1073/pnas.2313374120. Accessed: 2026-07-17. Additional resource links: </w:t>
      </w:r>
      <w:hyperlink r:id="rId169">
        <w:r>
          <w:rPr>
            <w:rFonts w:ascii="EB Garamond" w:hAnsi="EB Garamond" w:eastAsia="EB Garamond" w:cs="EB Garamond"/>
            <w:color w:val="1F2D33"/>
            <w:sz w:val="21"/>
            <w:b w:val="0"/>
            <w:bCs w:val="0"/>
            <w:i w:val="0"/>
            <w:iCs w:val="0"/>
            <w:rStyle w:val="Hyperlink"/>
            <w:szCs w:val="21"/>
          </w:rPr>
          <w:t xml:space="preserve">https://repository.library.noaa.gov/view/noaa/58476</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Murphy et al. 2023. Cited in: Note 42.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[SRC-KPA-MOMBASA] </w:t>
      </w:r>
      <w:r>
        <w:rPr>
          <w:rFonts w:ascii="EB Garamond" w:hAnsi="EB Garamond" w:eastAsia="EB Garamond" w:cs="EB Garamond"/>
          <w:color w:val="1F2D33"/>
          <w:sz w:val="21"/>
          <w:b w:val="0"/>
          <w:bCs w:val="0"/>
          <w:i w:val="0"/>
          <w:iCs w:val="0"/>
          <w:szCs w:val="21"/>
        </w:rPr>
        <w:t xml:space="preserve">Kenya Ports Authority. n.d. “Port of Mombasa.” </w:t>
      </w:r>
      <w:hyperlink r:id="rId171">
        <w:r>
          <w:rPr>
            <w:rFonts w:ascii="EB Garamond" w:hAnsi="EB Garamond" w:eastAsia="EB Garamond" w:cs="EB Garamond"/>
            <w:color w:val="1F2D33"/>
            <w:sz w:val="21"/>
            <w:b w:val="0"/>
            <w:bCs w:val="0"/>
            <w:i w:val="0"/>
            <w:iCs w:val="0"/>
            <w:rStyle w:val="Hyperlink"/>
            <w:szCs w:val="21"/>
          </w:rPr>
          <w:t xml:space="preserve">https://kpa.co.ke/Ports/PortOfMombasa</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page on the port’s multimodal connections with its hinterland.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timeline.</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[SRC-NCTTCA-NORTHERN-CORRIDOR] </w:t>
      </w:r>
      <w:r>
        <w:rPr>
          <w:rFonts w:ascii="EB Garamond" w:hAnsi="EB Garamond" w:eastAsia="EB Garamond" w:cs="EB Garamond"/>
          <w:color w:val="1F2D33"/>
          <w:sz w:val="21"/>
          <w:b w:val="0"/>
          <w:bCs w:val="0"/>
          <w:i w:val="0"/>
          <w:iCs w:val="0"/>
          <w:szCs w:val="21"/>
        </w:rPr>
        <w:t xml:space="preserve">Northern Corridor Transit and Transport Coordination Authority (NCTTCA). n.d.-b. “Who We Are.” </w:t>
      </w:r>
      <w:hyperlink r:id="rId172">
        <w:r>
          <w:rPr>
            <w:rFonts w:ascii="EB Garamond" w:hAnsi="EB Garamond" w:eastAsia="EB Garamond" w:cs="EB Garamond"/>
            <w:color w:val="1F2D33"/>
            <w:sz w:val="21"/>
            <w:b w:val="0"/>
            <w:bCs w:val="0"/>
            <w:i w:val="0"/>
            <w:iCs w:val="0"/>
            <w:rStyle w:val="Hyperlink"/>
            <w:szCs w:val="21"/>
          </w:rPr>
          <w:t xml:space="preserve">https://www.ttcanc.org/about-us/who-we-are/</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page on the Northern Corridor between the Port of Mombasa and the landlocked countries of the Great Lakes region.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NCTTCA n.d.-b. Cited in: Note 46.</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[SRC-NIST-CHIPS-SUPPLY] </w:t>
      </w:r>
      <w:r>
        <w:rPr>
          <w:rFonts w:ascii="EB Garamond" w:hAnsi="EB Garamond" w:eastAsia="EB Garamond" w:cs="EB Garamond"/>
          <w:color w:val="1F2D33"/>
          <w:sz w:val="21"/>
          <w:b w:val="0"/>
          <w:bCs w:val="0"/>
          <w:i w:val="0"/>
          <w:iCs w:val="0"/>
          <w:szCs w:val="21"/>
        </w:rPr>
        <w:t xml:space="preserve">National Institute of Standards and Technology (NIST), CHIPS for America. 2023b. </w:t>
      </w:r>
      <w:r>
        <w:rPr>
          <w:rFonts w:ascii="EB Garamond" w:hAnsi="EB Garamond" w:eastAsia="EB Garamond" w:cs="EB Garamond"/>
          <w:color w:val="1F2D33"/>
          <w:sz w:val="21"/>
          <w:b w:val="0"/>
          <w:bCs w:val="0"/>
          <w:i w:val="1"/>
          <w:iCs w:val="1"/>
          <w:szCs w:val="21"/>
        </w:rPr>
        <w:t xml:space="preserve">Vision for Success: Facilities for Semiconductor Materials and Manufacturing Equipment</w:t>
      </w:r>
      <w:r>
        <w:rPr>
          <w:rFonts w:ascii="EB Garamond" w:hAnsi="EB Garamond" w:eastAsia="EB Garamond" w:cs="EB Garamond"/>
          <w:color w:val="1F2D33"/>
          <w:sz w:val="21"/>
          <w:b w:val="0"/>
          <w:bCs w:val="0"/>
          <w:i w:val="0"/>
          <w:iCs w:val="0"/>
          <w:szCs w:val="21"/>
        </w:rPr>
        <w:t xml:space="preserve">. June 23, 2023. </w:t>
      </w:r>
      <w:hyperlink r:id="rId173">
        <w:r>
          <w:rPr>
            <w:rFonts w:ascii="EB Garamond" w:hAnsi="EB Garamond" w:eastAsia="EB Garamond" w:cs="EB Garamond"/>
            <w:color w:val="1F2D33"/>
            <w:sz w:val="21"/>
            <w:b w:val="0"/>
            <w:bCs w:val="0"/>
            <w:i w:val="0"/>
            <w:iCs w:val="0"/>
            <w:rStyle w:val="Hyperlink"/>
            <w:szCs w:val="21"/>
          </w:rPr>
          <w:t xml:space="preserve">https://www.nist.gov/document/vision-success-facilities-semiconductor-materials-and-manufacturing-equipment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documentation.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NIST 2023b.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[SRC-GAO-SEMI22] </w:t>
      </w:r>
      <w:r>
        <w:rPr>
          <w:rFonts w:ascii="EB Garamond" w:hAnsi="EB Garamond" w:eastAsia="EB Garamond" w:cs="EB Garamond"/>
          <w:color w:val="1F2D33"/>
          <w:sz w:val="21"/>
          <w:b w:val="0"/>
          <w:bCs w:val="0"/>
          <w:i w:val="0"/>
          <w:iCs w:val="0"/>
          <w:szCs w:val="21"/>
        </w:rPr>
        <w:t xml:space="preserve">U.S. Government Accountability Office (GAO). 2022. </w:t>
      </w:r>
      <w:r>
        <w:rPr>
          <w:rFonts w:ascii="EB Garamond" w:hAnsi="EB Garamond" w:eastAsia="EB Garamond" w:cs="EB Garamond"/>
          <w:color w:val="1F2D33"/>
          <w:sz w:val="21"/>
          <w:b w:val="0"/>
          <w:bCs w:val="0"/>
          <w:i w:val="1"/>
          <w:iCs w:val="1"/>
          <w:szCs w:val="21"/>
        </w:rPr>
        <w:t xml:space="preserve">Semiconductor Supply Chain: Policy Considerations from Selected Experts for Reducing Risks and Mitigating Shortages</w:t>
      </w:r>
      <w:r>
        <w:rPr>
          <w:rFonts w:ascii="EB Garamond" w:hAnsi="EB Garamond" w:eastAsia="EB Garamond" w:cs="EB Garamond"/>
          <w:color w:val="1F2D33"/>
          <w:sz w:val="21"/>
          <w:b w:val="0"/>
          <w:bCs w:val="0"/>
          <w:i w:val="0"/>
          <w:iCs w:val="0"/>
          <w:szCs w:val="21"/>
        </w:rPr>
        <w:t xml:space="preserve">. July 26, 2022. GAO-22-105923. </w:t>
      </w:r>
      <w:hyperlink r:id="rId174">
        <w:r>
          <w:rPr>
            <w:rFonts w:ascii="EB Garamond" w:hAnsi="EB Garamond" w:eastAsia="EB Garamond" w:cs="EB Garamond"/>
            <w:color w:val="1F2D33"/>
            <w:sz w:val="21"/>
            <w:b w:val="0"/>
            <w:bCs w:val="0"/>
            <w:i w:val="0"/>
            <w:iCs w:val="0"/>
            <w:rStyle w:val="Hyperlink"/>
            <w:szCs w:val="21"/>
          </w:rPr>
          <w:t xml:space="preserve">https://www.gao.gov/products/gao-22-105923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report.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GAO 2022.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[SRC-EU-CHIPS] </w:t>
      </w:r>
      <w:r>
        <w:rPr>
          <w:rFonts w:ascii="EB Garamond" w:hAnsi="EB Garamond" w:eastAsia="EB Garamond" w:cs="EB Garamond"/>
          <w:color w:val="1F2D33"/>
          <w:sz w:val="21"/>
          <w:b w:val="0"/>
          <w:bCs w:val="0"/>
          <w:i w:val="0"/>
          <w:iCs w:val="0"/>
          <w:szCs w:val="21"/>
        </w:rPr>
        <w:t xml:space="preserve">European Commission. n.d.-d. “European Chips Act.” </w:t>
      </w:r>
      <w:hyperlink r:id="rId175">
        <w:r>
          <w:rPr>
            <w:rFonts w:ascii="EB Garamond" w:hAnsi="EB Garamond" w:eastAsia="EB Garamond" w:cs="EB Garamond"/>
            <w:color w:val="1F2D33"/>
            <w:sz w:val="21"/>
            <w:b w:val="0"/>
            <w:bCs w:val="0"/>
            <w:i w:val="0"/>
            <w:iCs w:val="0"/>
            <w:rStyle w:val="Hyperlink"/>
            <w:szCs w:val="21"/>
          </w:rPr>
          <w:t xml:space="preserve">https://digital-strategy.ec.europa.eu/en/policies/european-chips-act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page on the current framework; not a legislative act. Accessed: 2026.</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n.d.-d.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[SRC-EU-CHIPS2-26] </w:t>
      </w:r>
      <w:r>
        <w:rPr>
          <w:rFonts w:ascii="EB Garamond" w:hAnsi="EB Garamond" w:eastAsia="EB Garamond" w:cs="EB Garamond"/>
          <w:color w:val="1F2D33"/>
          <w:sz w:val="21"/>
          <w:b w:val="0"/>
          <w:bCs w:val="0"/>
          <w:i w:val="0"/>
          <w:iCs w:val="0"/>
          <w:szCs w:val="21"/>
        </w:rPr>
        <w:t xml:space="preserve">European Commission. 2026c. “Proposal for the Chips Act 2.0.” June 3, 2026. </w:t>
      </w:r>
      <w:hyperlink r:id="rId176">
        <w:r>
          <w:rPr>
            <w:rFonts w:ascii="EB Garamond" w:hAnsi="EB Garamond" w:eastAsia="EB Garamond" w:cs="EB Garamond"/>
            <w:color w:val="1F2D33"/>
            <w:sz w:val="21"/>
            <w:b w:val="0"/>
            <w:bCs w:val="0"/>
            <w:i w:val="0"/>
            <w:iCs w:val="0"/>
            <w:rStyle w:val="Hyperlink"/>
            <w:szCs w:val="21"/>
          </w:rPr>
          <w:t xml:space="preserve">https://digital-strategy.ec.europa.eu/en/library/proposal-chips-act-20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Legislative proposal, not law already enacted.</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2026c.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[SRC-BIS-AC26] </w:t>
      </w:r>
      <w:r>
        <w:rPr>
          <w:rFonts w:ascii="EB Garamond" w:hAnsi="EB Garamond" w:eastAsia="EB Garamond" w:cs="EB Garamond"/>
          <w:color w:val="1F2D33"/>
          <w:sz w:val="21"/>
          <w:b w:val="0"/>
          <w:bCs w:val="0"/>
          <w:i w:val="0"/>
          <w:iCs w:val="0"/>
          <w:szCs w:val="21"/>
        </w:rPr>
        <w:t xml:space="preserve">U.S. Bureau of Industry and Security (BIS). 2026c. “Revision to License Review Policy for Advanced Computing Commodities.” Final rule. </w:t>
      </w:r>
      <w:r>
        <w:rPr>
          <w:rFonts w:ascii="EB Garamond" w:hAnsi="EB Garamond" w:eastAsia="EB Garamond" w:cs="EB Garamond"/>
          <w:color w:val="1F2D33"/>
          <w:sz w:val="21"/>
          <w:b w:val="0"/>
          <w:bCs w:val="0"/>
          <w:i w:val="1"/>
          <w:iCs w:val="1"/>
          <w:szCs w:val="21"/>
        </w:rPr>
        <w:t xml:space="preserve">Federal Register</w:t>
      </w:r>
      <w:r>
        <w:rPr>
          <w:rFonts w:ascii="EB Garamond" w:hAnsi="EB Garamond" w:eastAsia="EB Garamond" w:cs="EB Garamond"/>
          <w:color w:val="1F2D33"/>
          <w:sz w:val="21"/>
          <w:b w:val="0"/>
          <w:bCs w:val="0"/>
          <w:i w:val="0"/>
          <w:iCs w:val="0"/>
          <w:szCs w:val="21"/>
        </w:rPr>
        <w:t xml:space="preserve"> 91 (January 15, 2026): 1684. </w:t>
      </w:r>
      <w:hyperlink r:id="rId177">
        <w:r>
          <w:rPr>
            <w:rFonts w:ascii="EB Garamond" w:hAnsi="EB Garamond" w:eastAsia="EB Garamond" w:cs="EB Garamond"/>
            <w:color w:val="1F2D33"/>
            <w:sz w:val="21"/>
            <w:b w:val="0"/>
            <w:bCs w:val="0"/>
            <w:i w:val="0"/>
            <w:iCs w:val="0"/>
            <w:rStyle w:val="Hyperlink"/>
            <w:szCs w:val="21"/>
          </w:rPr>
          <w:t xml:space="preserve">https://www.federalregister.gov/documents/2026/01/15/2026-00789/revision-to-license-review-policy-for-advanced-computing-commodities</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final rule; applicability depends on the transaction and the EAR in force.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BIS 2026c.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[SRC-ITU-CABLES26] </w:t>
      </w:r>
      <w:r>
        <w:rPr>
          <w:rFonts w:ascii="EB Garamond" w:hAnsi="EB Garamond" w:eastAsia="EB Garamond" w:cs="EB Garamond"/>
          <w:color w:val="1F2D33"/>
          <w:sz w:val="21"/>
          <w:b w:val="0"/>
          <w:bCs w:val="0"/>
          <w:i w:val="0"/>
          <w:iCs w:val="0"/>
          <w:szCs w:val="21"/>
        </w:rPr>
        <w:t xml:space="preserve">International Telecommunication Union (ITU), in partnership with the International Cable Protection Committee (ICPC). 2026. </w:t>
      </w:r>
      <w:r>
        <w:rPr>
          <w:rFonts w:ascii="EB Garamond" w:hAnsi="EB Garamond" w:eastAsia="EB Garamond" w:cs="EB Garamond"/>
          <w:color w:val="1F2D33"/>
          <w:sz w:val="21"/>
          <w:b w:val="0"/>
          <w:bCs w:val="0"/>
          <w:i w:val="1"/>
          <w:iCs w:val="1"/>
          <w:szCs w:val="21"/>
        </w:rPr>
        <w:t xml:space="preserve">International Advisory Body on Submarine Cable Resilience: Report of the Working Groups 2026</w:t>
      </w:r>
      <w:r>
        <w:rPr>
          <w:rFonts w:ascii="EB Garamond" w:hAnsi="EB Garamond" w:eastAsia="EB Garamond" w:cs="EB Garamond"/>
          <w:color w:val="1F2D33"/>
          <w:sz w:val="21"/>
          <w:b w:val="0"/>
          <w:bCs w:val="0"/>
          <w:i w:val="0"/>
          <w:iCs w:val="0"/>
          <w:szCs w:val="21"/>
        </w:rPr>
        <w:t xml:space="preserve">. ISBN 978-92-61-40561-8. </w:t>
      </w:r>
      <w:hyperlink r:id="rId233">
        <w:r>
          <w:rPr>
            <w:rFonts w:ascii="EB Garamond" w:hAnsi="EB Garamond" w:eastAsia="EB Garamond" w:cs="EB Garamond"/>
            <w:color w:val="1F2D33"/>
            <w:sz w:val="21"/>
            <w:b w:val="0"/>
            <w:bCs w:val="0"/>
            <w:i w:val="0"/>
            <w:iCs w:val="0"/>
            <w:rStyle w:val="Hyperlink"/>
            <w:szCs w:val="21"/>
          </w:rPr>
          <w:t xml:space="preserve">https://www.itu.int/dms_pub/itu-s/opb/iab/S-IAB-WG-2026-PDF-E.pdf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institutional report. Additional resource links: </w:t>
      </w:r>
      <w:hyperlink r:id="rId178">
        <w:r>
          <w:rPr>
            <w:rFonts w:ascii="EB Garamond" w:hAnsi="EB Garamond" w:eastAsia="EB Garamond" w:cs="EB Garamond"/>
            <w:color w:val="1F2D33"/>
            <w:sz w:val="21"/>
            <w:b w:val="0"/>
            <w:bCs w:val="0"/>
            <w:i w:val="0"/>
            <w:iCs w:val="0"/>
            <w:rStyle w:val="Hyperlink"/>
            <w:szCs w:val="21"/>
          </w:rPr>
          <w:t xml:space="preserve">https://www.itu.int/hub/publication/s-iab-wg-2026/</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ITU and ICPC 2026. Cited in: Notes 16,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[SRC-CMA-CLOUD25] </w:t>
      </w:r>
      <w:r>
        <w:rPr>
          <w:rFonts w:ascii="EB Garamond" w:hAnsi="EB Garamond" w:eastAsia="EB Garamond" w:cs="EB Garamond"/>
          <w:color w:val="1F2D33"/>
          <w:sz w:val="21"/>
          <w:b w:val="0"/>
          <w:bCs w:val="0"/>
          <w:i w:val="0"/>
          <w:iCs w:val="0"/>
          <w:szCs w:val="21"/>
        </w:rPr>
        <w:t xml:space="preserve">Competition and Markets Authority (CMA). 2025. </w:t>
      </w:r>
      <w:r>
        <w:rPr>
          <w:rFonts w:ascii="EB Garamond" w:hAnsi="EB Garamond" w:eastAsia="EB Garamond" w:cs="EB Garamond"/>
          <w:color w:val="1F2D33"/>
          <w:sz w:val="21"/>
          <w:b w:val="0"/>
          <w:bCs w:val="0"/>
          <w:i w:val="1"/>
          <w:iCs w:val="1"/>
          <w:szCs w:val="21"/>
        </w:rPr>
        <w:t xml:space="preserve">Cloud Services Market Investigation: Summary of Final Decision</w:t>
      </w:r>
      <w:r>
        <w:rPr>
          <w:rFonts w:ascii="EB Garamond" w:hAnsi="EB Garamond" w:eastAsia="EB Garamond" w:cs="EB Garamond"/>
          <w:color w:val="1F2D33"/>
          <w:sz w:val="21"/>
          <w:b w:val="0"/>
          <w:bCs w:val="0"/>
          <w:i w:val="0"/>
          <w:iCs w:val="0"/>
          <w:szCs w:val="21"/>
        </w:rPr>
        <w:t xml:space="preserve">. July 31, 2025. </w:t>
      </w:r>
      <w:hyperlink r:id="rId179">
        <w:r>
          <w:rPr>
            <w:rFonts w:ascii="EB Garamond" w:hAnsi="EB Garamond" w:eastAsia="EB Garamond" w:cs="EB Garamond"/>
            <w:color w:val="1F2D33"/>
            <w:sz w:val="21"/>
            <w:b w:val="0"/>
            <w:bCs w:val="0"/>
            <w:i w:val="0"/>
            <w:iCs w:val="0"/>
            <w:rStyle w:val="Hyperlink"/>
            <w:szCs w:val="21"/>
          </w:rPr>
          <w:t xml:space="preserve">https://assets.publishing.service.gov.uk/media/688b20e6ff8c05468cb7b120/summary_of_final_decision.pdf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regulatory decision on the UK public cloud infrastructure market.</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CMA 2025. Cited in: Notes 14,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[SRC-ENISA-TL25] </w:t>
      </w:r>
      <w:r>
        <w:rPr>
          <w:rFonts w:ascii="EB Garamond" w:hAnsi="EB Garamond" w:eastAsia="EB Garamond" w:cs="EB Garamond"/>
          <w:color w:val="1F2D33"/>
          <w:sz w:val="21"/>
          <w:b w:val="0"/>
          <w:bCs w:val="0"/>
          <w:i w:val="0"/>
          <w:iCs w:val="0"/>
          <w:szCs w:val="21"/>
        </w:rPr>
        <w:t xml:space="preserve">European Union Agency for Cybersecurity (ENISA). 2025. </w:t>
      </w:r>
      <w:r>
        <w:rPr>
          <w:rFonts w:ascii="EB Garamond" w:hAnsi="EB Garamond" w:eastAsia="EB Garamond" w:cs="EB Garamond"/>
          <w:color w:val="1F2D33"/>
          <w:sz w:val="21"/>
          <w:b w:val="0"/>
          <w:bCs w:val="0"/>
          <w:i w:val="1"/>
          <w:iCs w:val="1"/>
          <w:szCs w:val="21"/>
        </w:rPr>
        <w:t xml:space="preserve">ENISA Threat Landscape 2025</w:t>
      </w:r>
      <w:r>
        <w:rPr>
          <w:rFonts w:ascii="EB Garamond" w:hAnsi="EB Garamond" w:eastAsia="EB Garamond" w:cs="EB Garamond"/>
          <w:color w:val="1F2D33"/>
          <w:sz w:val="21"/>
          <w:b w:val="0"/>
          <w:bCs w:val="0"/>
          <w:i w:val="0"/>
          <w:iCs w:val="0"/>
          <w:szCs w:val="21"/>
        </w:rPr>
        <w:t xml:space="preserve">. Version 1.2, updated January 9, 2026. </w:t>
      </w:r>
      <w:hyperlink r:id="rId234">
        <w:r>
          <w:rPr>
            <w:rFonts w:ascii="EB Garamond" w:hAnsi="EB Garamond" w:eastAsia="EB Garamond" w:cs="EB Garamond"/>
            <w:color w:val="1F2D33"/>
            <w:sz w:val="21"/>
            <w:b w:val="0"/>
            <w:bCs w:val="0"/>
            <w:i w:val="0"/>
            <w:iCs w:val="0"/>
            <w:rStyle w:val="Hyperlink"/>
            <w:szCs w:val="21"/>
          </w:rPr>
          <w:t xml:space="preserve">https://doi.org/10.2824/1946374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report. Additional resource links: </w:t>
      </w:r>
      <w:hyperlink r:id="rId180">
        <w:r>
          <w:rPr>
            <w:rFonts w:ascii="EB Garamond" w:hAnsi="EB Garamond" w:eastAsia="EB Garamond" w:cs="EB Garamond"/>
            <w:color w:val="1F2D33"/>
            <w:sz w:val="21"/>
            <w:b w:val="0"/>
            <w:bCs w:val="0"/>
            <w:i w:val="0"/>
            <w:iCs w:val="0"/>
            <w:rStyle w:val="Hyperlink"/>
            <w:szCs w:val="21"/>
          </w:rPr>
          <w:t xml:space="preserve">https://www.enisa.europa.eu/publications/enisa-threat-landscape-2025</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ENISA 2025. Cited in: Notes 15, 44, 45.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[SRC-ENISA-FRONTIER26] </w:t>
      </w:r>
      <w:r>
        <w:rPr>
          <w:rFonts w:ascii="EB Garamond" w:hAnsi="EB Garamond" w:eastAsia="EB Garamond" w:cs="EB Garamond"/>
          <w:color w:val="1F2D33"/>
          <w:sz w:val="21"/>
          <w:b w:val="0"/>
          <w:bCs w:val="0"/>
          <w:i w:val="0"/>
          <w:iCs w:val="0"/>
          <w:szCs w:val="21"/>
        </w:rPr>
        <w:t xml:space="preserve">European Union Agency for Cybersecurity (ENISA). 2026. </w:t>
      </w:r>
      <w:r>
        <w:rPr>
          <w:rFonts w:ascii="EB Garamond" w:hAnsi="EB Garamond" w:eastAsia="EB Garamond" w:cs="EB Garamond"/>
          <w:color w:val="1F2D33"/>
          <w:sz w:val="21"/>
          <w:b w:val="0"/>
          <w:bCs w:val="0"/>
          <w:i w:val="1"/>
          <w:iCs w:val="1"/>
          <w:szCs w:val="21"/>
        </w:rPr>
        <w:t xml:space="preserve">ENISA’s View on Cybersecurity in the Frontier AI Era</w:t>
      </w:r>
      <w:r>
        <w:rPr>
          <w:rFonts w:ascii="EB Garamond" w:hAnsi="EB Garamond" w:eastAsia="EB Garamond" w:cs="EB Garamond"/>
          <w:color w:val="1F2D33"/>
          <w:sz w:val="21"/>
          <w:b w:val="0"/>
          <w:bCs w:val="0"/>
          <w:i w:val="0"/>
          <w:iCs w:val="0"/>
          <w:szCs w:val="21"/>
        </w:rPr>
        <w:t xml:space="preserve">. July 7, 2026. </w:t>
      </w:r>
      <w:hyperlink r:id="rId235">
        <w:r>
          <w:rPr>
            <w:rFonts w:ascii="EB Garamond" w:hAnsi="EB Garamond" w:eastAsia="EB Garamond" w:cs="EB Garamond"/>
            <w:color w:val="1F2D33"/>
            <w:sz w:val="21"/>
            <w:b w:val="0"/>
            <w:bCs w:val="0"/>
            <w:i w:val="0"/>
            <w:iCs w:val="0"/>
            <w:rStyle w:val="Hyperlink"/>
            <w:szCs w:val="21"/>
          </w:rPr>
          <w:t xml:space="preserve">https://doi.org/10.2824/9549088</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report with initial recommendations for operational capabilities against machine-speed threats; does not replace the annual Threat Landscape. Additional resource links: </w:t>
      </w:r>
      <w:hyperlink r:id="rId181">
        <w:r>
          <w:rPr>
            <w:rFonts w:ascii="EB Garamond" w:hAnsi="EB Garamond" w:eastAsia="EB Garamond" w:cs="EB Garamond"/>
            <w:color w:val="1F2D33"/>
            <w:sz w:val="21"/>
            <w:b w:val="0"/>
            <w:bCs w:val="0"/>
            <w:i w:val="0"/>
            <w:iCs w:val="0"/>
            <w:rStyle w:val="Hyperlink"/>
            <w:szCs w:val="21"/>
          </w:rPr>
          <w:t xml:space="preserve">https://www.enisa.europa.eu/publications/enisas-view-on-cybersecurity-in-the-frontier-ai-era</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ENISA 2026. Cited in: Notes 15,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[SRC-UN-CYBER] </w:t>
      </w:r>
      <w:r>
        <w:rPr>
          <w:rFonts w:ascii="EB Garamond" w:hAnsi="EB Garamond" w:eastAsia="EB Garamond" w:cs="EB Garamond"/>
          <w:color w:val="1F2D33"/>
          <w:sz w:val="21"/>
          <w:b w:val="0"/>
          <w:bCs w:val="0"/>
          <w:i w:val="0"/>
          <w:iCs w:val="0"/>
          <w:szCs w:val="21"/>
        </w:rPr>
        <w:t xml:space="preserve">United Nations General Assembly. 2021. </w:t>
      </w:r>
      <w:r>
        <w:rPr>
          <w:rFonts w:ascii="EB Garamond" w:hAnsi="EB Garamond" w:eastAsia="EB Garamond" w:cs="EB Garamond"/>
          <w:color w:val="1F2D33"/>
          <w:sz w:val="21"/>
          <w:b w:val="0"/>
          <w:bCs w:val="0"/>
          <w:i w:val="1"/>
          <w:iCs w:val="1"/>
          <w:szCs w:val="21"/>
        </w:rPr>
        <w:t xml:space="preserve">Developments in the Field of Information and Telecommunications in the Context of International Security: Note by the Secretary-General</w:t>
      </w:r>
      <w:r>
        <w:rPr>
          <w:rFonts w:ascii="EB Garamond" w:hAnsi="EB Garamond" w:eastAsia="EB Garamond" w:cs="EB Garamond"/>
          <w:color w:val="1F2D33"/>
          <w:sz w:val="21"/>
          <w:b w:val="0"/>
          <w:bCs w:val="0"/>
          <w:i w:val="0"/>
          <w:iCs w:val="0"/>
          <w:szCs w:val="21"/>
        </w:rPr>
        <w:t xml:space="preserve">. March 18, 2021. A/75/816, Annex I, Final Substantive Report of the Open-ended Working Group. </w:t>
      </w:r>
      <w:hyperlink r:id="rId236">
        <w:r>
          <w:rPr>
            <w:rFonts w:ascii="EB Garamond" w:hAnsi="EB Garamond" w:eastAsia="EB Garamond" w:cs="EB Garamond"/>
            <w:color w:val="1F2D33"/>
            <w:sz w:val="21"/>
            <w:b w:val="0"/>
            <w:bCs w:val="0"/>
            <w:i w:val="0"/>
            <w:iCs w:val="0"/>
            <w:rStyle w:val="Hyperlink"/>
            <w:szCs w:val="21"/>
          </w:rPr>
          <w:t xml:space="preserve">https://docs.un.org/en/A/75/816</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UN report. Additional resource links: </w:t>
      </w:r>
      <w:hyperlink r:id="rId182">
        <w:r>
          <w:rPr>
            <w:rFonts w:ascii="EB Garamond" w:hAnsi="EB Garamond" w:eastAsia="EB Garamond" w:cs="EB Garamond"/>
            <w:color w:val="1F2D33"/>
            <w:sz w:val="21"/>
            <w:b w:val="0"/>
            <w:bCs w:val="0"/>
            <w:i w:val="0"/>
            <w:iCs w:val="0"/>
            <w:rStyle w:val="Hyperlink"/>
            <w:szCs w:val="21"/>
          </w:rPr>
          <w:t xml:space="preserve">https://digitallibrary.un.org/record/3908015</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United Nations General Assembly 2021. Cited in: Notes 44, 45.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[SRC-CMA-ACTIONS26] </w:t>
      </w:r>
      <w:r>
        <w:rPr>
          <w:rFonts w:ascii="EB Garamond" w:hAnsi="EB Garamond" w:eastAsia="EB Garamond" w:cs="EB Garamond"/>
          <w:color w:val="1F2D33"/>
          <w:sz w:val="21"/>
          <w:b w:val="0"/>
          <w:bCs w:val="0"/>
          <w:i w:val="0"/>
          <w:iCs w:val="0"/>
          <w:szCs w:val="21"/>
        </w:rPr>
        <w:t xml:space="preserve">Competition and Markets Authority (CMA). 2026a. </w:t>
      </w:r>
      <w:r>
        <w:rPr>
          <w:rFonts w:ascii="EB Garamond" w:hAnsi="EB Garamond" w:eastAsia="EB Garamond" w:cs="EB Garamond"/>
          <w:color w:val="1F2D33"/>
          <w:sz w:val="21"/>
          <w:b w:val="0"/>
          <w:bCs w:val="0"/>
          <w:i w:val="1"/>
          <w:iCs w:val="1"/>
          <w:szCs w:val="21"/>
        </w:rPr>
        <w:t xml:space="preserve">Actions on Cloud and Business Software through the UK Digital Markets Competition Regime</w:t>
      </w:r>
      <w:r>
        <w:rPr>
          <w:rFonts w:ascii="EB Garamond" w:hAnsi="EB Garamond" w:eastAsia="EB Garamond" w:cs="EB Garamond"/>
          <w:color w:val="1F2D33"/>
          <w:sz w:val="21"/>
          <w:b w:val="0"/>
          <w:bCs w:val="0"/>
          <w:i w:val="0"/>
          <w:iCs w:val="0"/>
          <w:szCs w:val="21"/>
        </w:rPr>
        <w:t xml:space="preserve">. March 31, 2026. </w:t>
      </w:r>
      <w:hyperlink r:id="rId219">
        <w:r>
          <w:rPr>
            <w:rFonts w:ascii="EB Garamond" w:hAnsi="EB Garamond" w:eastAsia="EB Garamond" w:cs="EB Garamond"/>
            <w:color w:val="1F2D33"/>
            <w:sz w:val="21"/>
            <w:b w:val="0"/>
            <w:bCs w:val="0"/>
            <w:i w:val="0"/>
            <w:iCs w:val="0"/>
            <w:rStyle w:val="Hyperlink"/>
            <w:szCs w:val="21"/>
          </w:rPr>
          <w:t xml:space="preserve">https://assets.publishing.service.gov.uk/media/69cbb8d52d120d9d5ec0f311/Actions_on_cloud_and_business_software_through_the_UK_digital_markets_competition_regime.pdf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regulatory policy document, distinct from the 2025 final decision and the SMS investigation launch.</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CMA 2026a. Cited in: Note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[SRC-CMA-SMS26] </w:t>
      </w:r>
      <w:r>
        <w:rPr>
          <w:rFonts w:ascii="EB Garamond" w:hAnsi="EB Garamond" w:eastAsia="EB Garamond" w:cs="EB Garamond"/>
          <w:color w:val="1F2D33"/>
          <w:sz w:val="21"/>
          <w:b w:val="0"/>
          <w:bCs w:val="0"/>
          <w:i w:val="0"/>
          <w:iCs w:val="0"/>
          <w:szCs w:val="21"/>
        </w:rPr>
        <w:t xml:space="preserve">Competition and Markets Authority (CMA). 2026b. </w:t>
      </w:r>
      <w:r>
        <w:rPr>
          <w:rFonts w:ascii="EB Garamond" w:hAnsi="EB Garamond" w:eastAsia="EB Garamond" w:cs="EB Garamond"/>
          <w:color w:val="1F2D33"/>
          <w:sz w:val="21"/>
          <w:b w:val="0"/>
          <w:bCs w:val="0"/>
          <w:i w:val="1"/>
          <w:iCs w:val="1"/>
          <w:szCs w:val="21"/>
        </w:rPr>
        <w:t xml:space="preserve">Microsoft’s Business Software Ecosystem</w:t>
      </w:r>
      <w:r>
        <w:rPr>
          <w:rFonts w:ascii="EB Garamond" w:hAnsi="EB Garamond" w:eastAsia="EB Garamond" w:cs="EB Garamond"/>
          <w:color w:val="1F2D33"/>
          <w:sz w:val="21"/>
          <w:b w:val="0"/>
          <w:bCs w:val="0"/>
          <w:i w:val="0"/>
          <w:iCs w:val="0"/>
          <w:szCs w:val="21"/>
        </w:rPr>
        <w:t xml:space="preserve">. May 14, 2026. SMS investigation launch. </w:t>
      </w:r>
      <w:hyperlink r:id="rId220">
        <w:r>
          <w:rPr>
            <w:rFonts w:ascii="EB Garamond" w:hAnsi="EB Garamond" w:eastAsia="EB Garamond" w:cs="EB Garamond"/>
            <w:color w:val="1F2D33"/>
            <w:sz w:val="21"/>
            <w:b w:val="0"/>
            <w:bCs w:val="0"/>
            <w:i w:val="0"/>
            <w:iCs w:val="0"/>
            <w:rStyle w:val="Hyperlink"/>
            <w:szCs w:val="21"/>
          </w:rPr>
          <w:t xml:space="preserve">https://www.gov.uk/cma-cases/microsofts-business-software-ecosystem</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Regulatory investigation launch, not an SMS designation.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CMA 2026b. Cited in: Note 44.</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[SRC-NCTTCA-MOMBASA] </w:t>
      </w:r>
      <w:r>
        <w:rPr>
          <w:rFonts w:ascii="EB Garamond" w:hAnsi="EB Garamond" w:eastAsia="EB Garamond" w:cs="EB Garamond"/>
          <w:color w:val="1F2D33"/>
          <w:sz w:val="21"/>
          <w:b w:val="0"/>
          <w:bCs w:val="0"/>
          <w:i w:val="0"/>
          <w:iCs w:val="0"/>
          <w:szCs w:val="21"/>
        </w:rPr>
        <w:t xml:space="preserve">Northern Corridor Transit and Transport Coordination Authority (NCTTCA). n.d.-a. “Port of Mombasa.” </w:t>
      </w:r>
      <w:hyperlink r:id="rId221">
        <w:r>
          <w:rPr>
            <w:rFonts w:ascii="EB Garamond" w:hAnsi="EB Garamond" w:eastAsia="EB Garamond" w:cs="EB Garamond"/>
            <w:color w:val="1F2D33"/>
            <w:sz w:val="21"/>
            <w:b w:val="0"/>
            <w:bCs w:val="0"/>
            <w:i w:val="0"/>
            <w:iCs w:val="0"/>
            <w:rStyle w:val="Hyperlink"/>
            <w:szCs w:val="21"/>
          </w:rPr>
          <w:t xml:space="preserve">https://www.ttcanc.org/corridor-infrastructure/port-of-mombasa/</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geographic context; not evidence for the fictional scenario quantities.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NCTTCA n.d.-a. Cited in: Note 46.</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[SRC-BIS-IC-DESIGNER26] </w:t>
      </w:r>
      <w:r>
        <w:rPr>
          <w:rFonts w:ascii="EB Garamond" w:hAnsi="EB Garamond" w:eastAsia="EB Garamond" w:cs="EB Garamond"/>
          <w:color w:val="1F2D33"/>
          <w:sz w:val="21"/>
          <w:b w:val="0"/>
          <w:bCs w:val="0"/>
          <w:i w:val="0"/>
          <w:iCs w:val="0"/>
          <w:szCs w:val="21"/>
        </w:rPr>
        <w:t xml:space="preserve">U.S. Bureau of Industry and Security (BIS). 2026a. “Extension of Authorized Integrated Circuit (IC) Designer Status and Application Deadline to Become an Approved IC Designer.” Final rule, effective April 7, 2026. </w:t>
      </w:r>
      <w:r>
        <w:rPr>
          <w:rFonts w:ascii="EB Garamond" w:hAnsi="EB Garamond" w:eastAsia="EB Garamond" w:cs="EB Garamond"/>
          <w:color w:val="1F2D33"/>
          <w:sz w:val="21"/>
          <w:b w:val="0"/>
          <w:bCs w:val="0"/>
          <w:i w:val="1"/>
          <w:iCs w:val="1"/>
          <w:szCs w:val="21"/>
        </w:rPr>
        <w:t xml:space="preserve">Federal Register</w:t>
      </w:r>
      <w:r>
        <w:rPr>
          <w:rFonts w:ascii="EB Garamond" w:hAnsi="EB Garamond" w:eastAsia="EB Garamond" w:cs="EB Garamond"/>
          <w:color w:val="1F2D33"/>
          <w:sz w:val="21"/>
          <w:b w:val="0"/>
          <w:bCs w:val="0"/>
          <w:i w:val="0"/>
          <w:iCs w:val="0"/>
          <w:szCs w:val="21"/>
        </w:rPr>
        <w:t xml:space="preserve"> 91 (April 9, 2026): 17851–17852. </w:t>
      </w:r>
      <w:hyperlink r:id="rId222">
        <w:r>
          <w:rPr>
            <w:rFonts w:ascii="EB Garamond" w:hAnsi="EB Garamond" w:eastAsia="EB Garamond" w:cs="EB Garamond"/>
            <w:color w:val="1F2D33"/>
            <w:sz w:val="21"/>
            <w:b w:val="0"/>
            <w:bCs w:val="0"/>
            <w:i w:val="0"/>
            <w:iCs w:val="0"/>
            <w:rStyle w:val="Hyperlink"/>
            <w:szCs w:val="21"/>
          </w:rPr>
          <w:t xml:space="preserve">https://www.govinfo.gov/content/pkg/FR-2026-04-09/html/2026-06851.htm</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Final rule; specified designer-status and application deadlines are scheduled for 2026-12-31.</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BIS 2026a. Cited in: Note 43.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[SRC-BIS-GUIDANCE26] </w:t>
      </w:r>
      <w:r>
        <w:rPr>
          <w:rFonts w:ascii="EB Garamond" w:hAnsi="EB Garamond" w:eastAsia="EB Garamond" w:cs="EB Garamond"/>
          <w:color w:val="1F2D33"/>
          <w:sz w:val="21"/>
          <w:b w:val="0"/>
          <w:bCs w:val="0"/>
          <w:i w:val="0"/>
          <w:iCs w:val="0"/>
          <w:szCs w:val="21"/>
        </w:rPr>
        <w:t xml:space="preserve">U.S. Bureau of Industry and Security (BIS). 2026b. </w:t>
      </w:r>
      <w:r>
        <w:rPr>
          <w:rFonts w:ascii="EB Garamond" w:hAnsi="EB Garamond" w:eastAsia="EB Garamond" w:cs="EB Garamond"/>
          <w:color w:val="1F2D33"/>
          <w:sz w:val="21"/>
          <w:b w:val="0"/>
          <w:bCs w:val="0"/>
          <w:i w:val="1"/>
          <w:iCs w:val="1"/>
          <w:szCs w:val="21"/>
        </w:rPr>
        <w:t xml:space="preserve">Guidance Regarding Enforcement of License Requirements for Advanced Computing Items for Entities Headquartered in Country Group D:5 and Macau</w:t>
      </w:r>
      <w:r>
        <w:rPr>
          <w:rFonts w:ascii="EB Garamond" w:hAnsi="EB Garamond" w:eastAsia="EB Garamond" w:cs="EB Garamond"/>
          <w:color w:val="1F2D33"/>
          <w:sz w:val="21"/>
          <w:b w:val="0"/>
          <w:bCs w:val="0"/>
          <w:i w:val="0"/>
          <w:iCs w:val="0"/>
          <w:szCs w:val="21"/>
        </w:rPr>
        <w:t xml:space="preserve">. May 31, 2026. </w:t>
      </w:r>
      <w:hyperlink r:id="rId223">
        <w:r>
          <w:rPr>
            <w:rFonts w:ascii="EB Garamond" w:hAnsi="EB Garamond" w:eastAsia="EB Garamond" w:cs="EB Garamond"/>
            <w:color w:val="1F2D33"/>
            <w:sz w:val="21"/>
            <w:b w:val="0"/>
            <w:bCs w:val="0"/>
            <w:i w:val="0"/>
            <w:iCs w:val="0"/>
            <w:rStyle w:val="Hyperlink"/>
            <w:szCs w:val="21"/>
          </w:rPr>
          <w:t xml:space="preserve">https://www.bis.gov/media/documents/bis-guidance-may-31-2026.pdf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enforcement guidance clarifying pre-existing controls; distinct from the January and April rules.</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BIS 2026b. Cited in: Note 43.</w:t>
      </w:r>
    </w:p>
    <w:p>
      <w:pPr>
        <w:pStyle w:val="Heading1"/>
        <w:spacing w:line="460" w:lineRule="exact"/>
      </w:pPr>
      <w:r>
        <w:t>Law, Regulation, and Institutional Guidance</w:t>
        <w:rPr>
          <w:rFonts w:ascii="EB Garamond" w:hAnsi="EB Garamond" w:eastAsia="EB Garamond" w:cs="EB Garamond"/>
          <w:sz w:val="40"/>
          <w:szCs w:val="40"/>
          <w:color w:val="183445"/>
        </w:rPr>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[SRC-LIARS-DIVIDEND] </w:t>
      </w:r>
      <w:r>
        <w:rPr>
          <w:rFonts w:ascii="EB Garamond" w:hAnsi="EB Garamond" w:eastAsia="EB Garamond" w:cs="EB Garamond"/>
          <w:color w:val="1F2D33"/>
          <w:sz w:val="21"/>
          <w:b w:val="0"/>
          <w:bCs w:val="0"/>
          <w:i w:val="0"/>
          <w:iCs w:val="0"/>
          <w:szCs w:val="21"/>
        </w:rPr>
        <w:t xml:space="preserve">Chesney, Bobby, and Danielle Citron. 2019. “Deep Fakes: A Looming Challenge for Privacy, Democracy, and National Security.” </w:t>
      </w:r>
      <w:r>
        <w:rPr>
          <w:rFonts w:ascii="EB Garamond" w:hAnsi="EB Garamond" w:eastAsia="EB Garamond" w:cs="EB Garamond"/>
          <w:color w:val="1F2D33"/>
          <w:sz w:val="21"/>
          <w:b w:val="0"/>
          <w:bCs w:val="0"/>
          <w:i w:val="1"/>
          <w:iCs w:val="1"/>
          <w:szCs w:val="21"/>
        </w:rPr>
        <w:t xml:space="preserve">California Law Review</w:t>
      </w:r>
      <w:r>
        <w:rPr>
          <w:rFonts w:ascii="EB Garamond" w:hAnsi="EB Garamond" w:eastAsia="EB Garamond" w:cs="EB Garamond"/>
          <w:color w:val="1F2D33"/>
          <w:sz w:val="21"/>
          <w:b w:val="0"/>
          <w:bCs w:val="0"/>
          <w:i w:val="0"/>
          <w:iCs w:val="0"/>
          <w:szCs w:val="21"/>
        </w:rPr>
        <w:t xml:space="preserve"> 107 (6): 1753–1819. </w:t>
      </w:r>
      <w:hyperlink r:id="rId183">
        <w:r>
          <w:rPr>
            <w:rFonts w:ascii="EB Garamond" w:hAnsi="EB Garamond" w:eastAsia="EB Garamond" w:cs="EB Garamond"/>
            <w:color w:val="1F2D33"/>
            <w:sz w:val="21"/>
            <w:b w:val="0"/>
            <w:bCs w:val="0"/>
            <w:i w:val="0"/>
            <w:iCs w:val="0"/>
            <w:rStyle w:val="Hyperlink"/>
            <w:szCs w:val="21"/>
          </w:rPr>
          <w:t xml:space="preserve">https://doi.org/10.15779/Z38RV0D15J</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Primary source for the concept of the “liar’s dividend.”</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Chesney and Citron 2019. Cited in: Note 28.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[SRC-S34-001] </w:t>
      </w:r>
      <w:r>
        <w:rPr>
          <w:rFonts w:ascii="EB Garamond" w:hAnsi="EB Garamond" w:eastAsia="EB Garamond" w:cs="EB Garamond"/>
          <w:color w:val="1F2D33"/>
          <w:sz w:val="21"/>
          <w:b w:val="0"/>
          <w:bCs w:val="0"/>
          <w:i w:val="0"/>
          <w:iCs w:val="0"/>
          <w:szCs w:val="21"/>
        </w:rPr>
        <w:t xml:space="preserve">European Parliament and Council of the European Union. 2024c. Regulation (EU) 2024/1689 of 13 June 2024 laying down harmonised rules on artificial intelligence (Artificial Intelligence Act).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2024/1689 (July 12, 2024). As amended by Regulation (EU) 2026/1744. CELEX 32024R1689. </w:t>
      </w:r>
      <w:hyperlink r:id="rId237">
        <w:r>
          <w:rPr>
            <w:rFonts w:ascii="EB Garamond" w:hAnsi="EB Garamond" w:eastAsia="EB Garamond" w:cs="EB Garamond"/>
            <w:color w:val="1F2D33"/>
            <w:sz w:val="21"/>
            <w:b w:val="0"/>
            <w:bCs w:val="0"/>
            <w:i w:val="0"/>
            <w:iCs w:val="0"/>
            <w:rStyle w:val="Hyperlink"/>
            <w:szCs w:val="21"/>
          </w:rPr>
          <w:t xml:space="preserve">https://eur-lex.europa.eu/legal-content/EN/TXT/?uri=CELEX:32024R1689</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phased application. CELEX 32024R1689; ELI reg/2024/1689/oj. Additional resource links: </w:t>
      </w:r>
      <w:hyperlink r:id="rId184">
        <w:r>
          <w:rPr>
            <w:rFonts w:ascii="EB Garamond" w:hAnsi="EB Garamond" w:eastAsia="EB Garamond" w:cs="EB Garamond"/>
            <w:color w:val="1F2D33"/>
            <w:sz w:val="21"/>
            <w:b w:val="0"/>
            <w:bCs w:val="0"/>
            <w:i w:val="0"/>
            <w:iCs w:val="0"/>
            <w:rStyle w:val="Hyperlink"/>
            <w:szCs w:val="21"/>
          </w:rPr>
          <w:t xml:space="preserve">https://eur-lex.europa.eu/eli/reg/2024/1689/oj/eng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 Book key: Regulation (EU) 2024/1689. Cited in: Notes 17, 20, 21, 25, 28, 30, 32, 35.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[SRC-CANADA-ADM19] </w:t>
      </w:r>
      <w:r>
        <w:rPr>
          <w:rFonts w:ascii="EB Garamond" w:hAnsi="EB Garamond" w:eastAsia="EB Garamond" w:cs="EB Garamond"/>
          <w:color w:val="1F2D33"/>
          <w:sz w:val="21"/>
          <w:b w:val="0"/>
          <w:bCs w:val="0"/>
          <w:i w:val="0"/>
          <w:iCs w:val="0"/>
          <w:szCs w:val="21"/>
        </w:rPr>
        <w:t xml:space="preserve">Government of Canada. 2019. </w:t>
      </w:r>
      <w:r>
        <w:rPr>
          <w:rFonts w:ascii="EB Garamond" w:hAnsi="EB Garamond" w:eastAsia="EB Garamond" w:cs="EB Garamond"/>
          <w:color w:val="1F2D33"/>
          <w:sz w:val="21"/>
          <w:b w:val="0"/>
          <w:bCs w:val="0"/>
          <w:i w:val="1"/>
          <w:iCs w:val="1"/>
          <w:szCs w:val="21"/>
        </w:rPr>
        <w:t xml:space="preserve">Directive on Automated Decision-Making</w:t>
      </w:r>
      <w:r>
        <w:rPr>
          <w:rFonts w:ascii="EB Garamond" w:hAnsi="EB Garamond" w:eastAsia="EB Garamond" w:cs="EB Garamond"/>
          <w:color w:val="1F2D33"/>
          <w:sz w:val="21"/>
          <w:b w:val="0"/>
          <w:bCs w:val="0"/>
          <w:i w:val="0"/>
          <w:iCs w:val="0"/>
          <w:szCs w:val="21"/>
        </w:rPr>
        <w:t xml:space="preserve">. As amended. https://www.tbs-sct.canada.ca/pol/doc-eng.aspx?id=32592.</w:t>
      </w:r>
      <w:r>
        <w:rPr>
          <w:rFonts w:ascii="EB Garamond" w:hAnsi="EB Garamond" w:eastAsia="EB Garamond" w:cs="EB Garamond"/>
          <w:color w:val="1F2D33"/>
          <w:sz w:val="21"/>
          <w:b w:val="0"/>
          <w:bCs w:val="0"/>
          <w:i w:val="0"/>
          <w:iCs w:val="0"/>
          <w:szCs w:val="21"/>
        </w:rPr>
        <w:t xml:space="preserve"> Government policy directive; includes the Algorithmic Impact Assessment. Book key: Government of Canada 2019. Cited in: Note 17.</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[SRC-S34-003] </w:t>
      </w:r>
      <w:r>
        <w:rPr>
          <w:rFonts w:ascii="EB Garamond" w:hAnsi="EB Garamond" w:eastAsia="EB Garamond" w:cs="EB Garamond"/>
          <w:color w:val="1F2D33"/>
          <w:sz w:val="21"/>
          <w:b w:val="0"/>
          <w:bCs w:val="0"/>
          <w:i w:val="0"/>
          <w:iCs w:val="0"/>
          <w:szCs w:val="21"/>
        </w:rPr>
        <w:t xml:space="preserve">European Commission. n.d.-b. “Article 50: Transparency Obligations for Providers and Deployers of Certain AI Systems.” AI Act Service Desk. Explanatory service reproducing the AI Act; read with Regulation (EU) 2026/1744. </w:t>
      </w:r>
      <w:hyperlink r:id="rId185">
        <w:r>
          <w:rPr>
            <w:rFonts w:ascii="EB Garamond" w:hAnsi="EB Garamond" w:eastAsia="EB Garamond" w:cs="EB Garamond"/>
            <w:color w:val="1F2D33"/>
            <w:sz w:val="21"/>
            <w:b w:val="0"/>
            <w:bCs w:val="0"/>
            <w:i w:val="0"/>
            <w:iCs w:val="0"/>
            <w:rStyle w:val="Hyperlink"/>
            <w:szCs w:val="21"/>
          </w:rPr>
          <w:t xml:space="preserve">https://ai-act-service-desk.ec.europa.eu/en/ai-act/article-50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service concerning Article 50 of Regulation (EU) 2024/1689.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n.d.-b. Cited in: Note 28.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[SRC-S34-004] </w:t>
      </w:r>
      <w:r>
        <w:rPr>
          <w:rFonts w:ascii="EB Garamond" w:hAnsi="EB Garamond" w:eastAsia="EB Garamond" w:cs="EB Garamond"/>
          <w:color w:val="1F2D33"/>
          <w:sz w:val="21"/>
          <w:b w:val="0"/>
          <w:bCs w:val="0"/>
          <w:i w:val="0"/>
          <w:iCs w:val="0"/>
          <w:szCs w:val="21"/>
        </w:rPr>
        <w:t xml:space="preserve">European Commission. n.d.-c. “Article 53: Obligations for Providers of General-Purpose AI Models.” AI Act Service Desk. Explanatory service reproducing Article 53 of Regulation (EU) 2024/1689. </w:t>
      </w:r>
      <w:hyperlink r:id="rId186">
        <w:r>
          <w:rPr>
            <w:rFonts w:ascii="EB Garamond" w:hAnsi="EB Garamond" w:eastAsia="EB Garamond" w:cs="EB Garamond"/>
            <w:color w:val="1F2D33"/>
            <w:sz w:val="21"/>
            <w:b w:val="0"/>
            <w:bCs w:val="0"/>
            <w:i w:val="0"/>
            <w:iCs w:val="0"/>
            <w:rStyle w:val="Hyperlink"/>
            <w:szCs w:val="21"/>
          </w:rPr>
          <w:t xml:space="preserve">https://ai-act-service-desk.ec.europa.eu/en/ai-act/article-53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service concerning Article 53 of Regulation (EU) 2024/1689.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n.d.-c. Cited in: Note 20.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[SRC-S34-005] </w:t>
      </w:r>
      <w:r>
        <w:rPr>
          <w:rFonts w:ascii="EB Garamond" w:hAnsi="EB Garamond" w:eastAsia="EB Garamond" w:cs="EB Garamond"/>
          <w:color w:val="1F2D33"/>
          <w:sz w:val="21"/>
          <w:b w:val="0"/>
          <w:bCs w:val="0"/>
          <w:i w:val="0"/>
          <w:iCs w:val="0"/>
          <w:szCs w:val="21"/>
        </w:rPr>
        <w:t xml:space="preserve">European Parliament and Council of the European Union. 2016. Regulation (EU) 2016/679 of 27 April 2016 on the Protection of Natural Persons with Regard to the Processing of Personal Data and on the Free Movement of Such Data, and Repealing Directive 95/46/EC (General Data Protection Regulation).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119 (May 4, 2016): 1–88. CELEX 32016R0679. </w:t>
      </w:r>
      <w:hyperlink r:id="rId187">
        <w:r>
          <w:rPr>
            <w:rFonts w:ascii="EB Garamond" w:hAnsi="EB Garamond" w:eastAsia="EB Garamond" w:cs="EB Garamond"/>
            <w:color w:val="1F2D33"/>
            <w:sz w:val="21"/>
            <w:b w:val="0"/>
            <w:bCs w:val="0"/>
            <w:i w:val="0"/>
            <w:iCs w:val="0"/>
            <w:rStyle w:val="Hyperlink"/>
            <w:szCs w:val="21"/>
          </w:rPr>
          <w:t xml:space="preserve">https://eur-lex.europa.eu/eli/reg/2016/679/oj/eng</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32016R0679; ELI reg/2016/679/oj.</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2016/679. Cited in: Notes 13, 20, 35, 48.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[SRC-S34-006] </w:t>
      </w:r>
      <w:r>
        <w:rPr>
          <w:rFonts w:ascii="EB Garamond" w:hAnsi="EB Garamond" w:eastAsia="EB Garamond" w:cs="EB Garamond"/>
          <w:color w:val="1F2D33"/>
          <w:sz w:val="21"/>
          <w:b w:val="0"/>
          <w:bCs w:val="0"/>
          <w:i w:val="0"/>
          <w:iCs w:val="0"/>
          <w:szCs w:val="21"/>
        </w:rPr>
        <w:t xml:space="preserve">Article 29 Data Protection Working Party (Article 29 Working Party). 2018. </w:t>
      </w:r>
      <w:r>
        <w:rPr>
          <w:rFonts w:ascii="EB Garamond" w:hAnsi="EB Garamond" w:eastAsia="EB Garamond" w:cs="EB Garamond"/>
          <w:color w:val="1F2D33"/>
          <w:sz w:val="21"/>
          <w:b w:val="0"/>
          <w:bCs w:val="0"/>
          <w:i w:val="1"/>
          <w:iCs w:val="1"/>
          <w:szCs w:val="21"/>
        </w:rPr>
        <w:t xml:space="preserve">Guidelines on Automated Individual Decision-Making and Profiling for the Purposes of Regulation 2016/679</w:t>
      </w:r>
      <w:r>
        <w:rPr>
          <w:rFonts w:ascii="EB Garamond" w:hAnsi="EB Garamond" w:eastAsia="EB Garamond" w:cs="EB Garamond"/>
          <w:color w:val="1F2D33"/>
          <w:sz w:val="21"/>
          <w:b w:val="0"/>
          <w:bCs w:val="0"/>
          <w:i w:val="0"/>
          <w:iCs w:val="0"/>
          <w:szCs w:val="21"/>
        </w:rPr>
        <w:t xml:space="preserve">. WP251 rev.01. Endorsed by the European Data Protection Board on May 25, 2018. </w:t>
      </w:r>
      <w:hyperlink r:id="rId188">
        <w:r>
          <w:rPr>
            <w:rFonts w:ascii="EB Garamond" w:hAnsi="EB Garamond" w:eastAsia="EB Garamond" w:cs="EB Garamond"/>
            <w:color w:val="1F2D33"/>
            <w:sz w:val="21"/>
            <w:b w:val="0"/>
            <w:bCs w:val="0"/>
            <w:i w:val="0"/>
            <w:iCs w:val="0"/>
            <w:rStyle w:val="Hyperlink"/>
            <w:szCs w:val="21"/>
          </w:rPr>
          <w:t xml:space="preserve">https://www.edpb.europa.eu/documents/guideline/automated-decision-making-and-profiling_en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interpretive guidance; not legislation.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Article 29 Working Party 2018. Cited in: Notes 20, 35.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[SRC-S34-007] </w:t>
      </w:r>
      <w:r>
        <w:rPr>
          <w:rFonts w:ascii="EB Garamond" w:hAnsi="EB Garamond" w:eastAsia="EB Garamond" w:cs="EB Garamond"/>
          <w:color w:val="1F2D33"/>
          <w:sz w:val="21"/>
          <w:b w:val="0"/>
          <w:bCs w:val="0"/>
          <w:i w:val="0"/>
          <w:iCs w:val="0"/>
          <w:szCs w:val="21"/>
        </w:rPr>
        <w:t xml:space="preserve">Court of Justice of the European Union. 2023. </w:t>
      </w:r>
      <w:r>
        <w:rPr>
          <w:rFonts w:ascii="EB Garamond" w:hAnsi="EB Garamond" w:eastAsia="EB Garamond" w:cs="EB Garamond"/>
          <w:color w:val="1F2D33"/>
          <w:sz w:val="21"/>
          <w:b w:val="0"/>
          <w:bCs w:val="0"/>
          <w:i w:val="1"/>
          <w:iCs w:val="1"/>
          <w:szCs w:val="21"/>
        </w:rPr>
        <w:t xml:space="preserve">OQ v. Land Hessen (SCHUFA Holding)</w:t>
      </w:r>
      <w:r>
        <w:rPr>
          <w:rFonts w:ascii="EB Garamond" w:hAnsi="EB Garamond" w:eastAsia="EB Garamond" w:cs="EB Garamond"/>
          <w:color w:val="1F2D33"/>
          <w:sz w:val="21"/>
          <w:b w:val="0"/>
          <w:bCs w:val="0"/>
          <w:i w:val="0"/>
          <w:iCs w:val="0"/>
          <w:szCs w:val="21"/>
        </w:rPr>
        <w:t xml:space="preserve">. Case C-634/21, ECLI:EU:C:2023:957, December 7, 2023. CELEX 62021CJ0634. </w:t>
      </w:r>
      <w:hyperlink r:id="rId238">
        <w:r>
          <w:rPr>
            <w:rFonts w:ascii="EB Garamond" w:hAnsi="EB Garamond" w:eastAsia="EB Garamond" w:cs="EB Garamond"/>
            <w:color w:val="1F2D33"/>
            <w:sz w:val="21"/>
            <w:b w:val="0"/>
            <w:bCs w:val="0"/>
            <w:i w:val="0"/>
            <w:iCs w:val="0"/>
            <w:rStyle w:val="Hyperlink"/>
            <w:szCs w:val="21"/>
          </w:rPr>
          <w:t xml:space="preserve">https://eur-lex.europa.eu/legal-content/EN/TXT/?uri=CELEX:62021CJ0634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Binding case law in the interpretation of EU law. ECLI:EU:C:2023:957. Additional resource links: </w:t>
      </w:r>
      <w:hyperlink r:id="rId189">
        <w:r>
          <w:rPr>
            <w:rFonts w:ascii="EB Garamond" w:hAnsi="EB Garamond" w:eastAsia="EB Garamond" w:cs="EB Garamond"/>
            <w:color w:val="1F2D33"/>
            <w:sz w:val="21"/>
            <w:b w:val="0"/>
            <w:bCs w:val="0"/>
            <w:i w:val="0"/>
            <w:iCs w:val="0"/>
            <w:rStyle w:val="Hyperlink"/>
            <w:szCs w:val="21"/>
          </w:rPr>
          <w:t xml:space="preserve">https://infocuria.curia.europa.eu/tabs/redirect/juris/document/document.jsf?docid=280426&amp;doclang=en</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SCHUFA, Case C-634/21. Cited in: Notes 20, 35.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[SRC-S34-008] </w:t>
      </w:r>
      <w:r>
        <w:rPr>
          <w:rFonts w:ascii="EB Garamond" w:hAnsi="EB Garamond" w:eastAsia="EB Garamond" w:cs="EB Garamond"/>
          <w:color w:val="1F2D33"/>
          <w:sz w:val="21"/>
          <w:b w:val="0"/>
          <w:bCs w:val="0"/>
          <w:i w:val="0"/>
          <w:iCs w:val="0"/>
          <w:szCs w:val="21"/>
        </w:rPr>
        <w:t xml:space="preserve">European Parliament and Council of the European Union. 2024b. Regulation (EU) 2024/1183 of 11 April 2024 amending Regulation (EU) No 910/2014 as regards establishing the European Digital Identity Framework.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2024/1183 (April 30, 2024). CELEX 32024R1183. </w:t>
      </w:r>
      <w:hyperlink r:id="rId239">
        <w:r>
          <w:rPr>
            <w:rFonts w:ascii="EB Garamond" w:hAnsi="EB Garamond" w:eastAsia="EB Garamond" w:cs="EB Garamond"/>
            <w:color w:val="1F2D33"/>
            <w:sz w:val="21"/>
            <w:b w:val="0"/>
            <w:bCs w:val="0"/>
            <w:i w:val="0"/>
            <w:iCs w:val="0"/>
            <w:rStyle w:val="Hyperlink"/>
            <w:szCs w:val="21"/>
          </w:rPr>
          <w:t xml:space="preserve">https://eur-lex.europa.eu/legal-content/EN/TXT/HTML/?uri=CELEX:32024R1183</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32024R1183; ELI reg/2024/1183/oj. Additional resource links: </w:t>
      </w:r>
      <w:hyperlink r:id="rId190">
        <w:r>
          <w:rPr>
            <w:rFonts w:ascii="EB Garamond" w:hAnsi="EB Garamond" w:eastAsia="EB Garamond" w:cs="EB Garamond"/>
            <w:color w:val="1F2D33"/>
            <w:sz w:val="21"/>
            <w:b w:val="0"/>
            <w:bCs w:val="0"/>
            <w:i w:val="0"/>
            <w:iCs w:val="0"/>
            <w:rStyle w:val="Hyperlink"/>
            <w:szCs w:val="21"/>
          </w:rPr>
          <w:t xml:space="preserve">https://eur-lex.europa.eu/eli/reg/2024/1183/oj/eng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2024/1183. Cited in: Note 13.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[SRC-S34-009] </w:t>
      </w:r>
      <w:r>
        <w:rPr>
          <w:rFonts w:ascii="EB Garamond" w:hAnsi="EB Garamond" w:eastAsia="EB Garamond" w:cs="EB Garamond"/>
          <w:color w:val="1F2D33"/>
          <w:sz w:val="21"/>
          <w:b w:val="0"/>
          <w:bCs w:val="0"/>
          <w:i w:val="0"/>
          <w:iCs w:val="0"/>
          <w:szCs w:val="21"/>
        </w:rPr>
        <w:t xml:space="preserve">European Commission. 2026b. </w:t>
      </w:r>
      <w:r>
        <w:rPr>
          <w:rFonts w:ascii="EB Garamond" w:hAnsi="EB Garamond" w:eastAsia="EB Garamond" w:cs="EB Garamond"/>
          <w:color w:val="1F2D33"/>
          <w:sz w:val="21"/>
          <w:b w:val="0"/>
          <w:bCs w:val="0"/>
          <w:i w:val="1"/>
          <w:iCs w:val="1"/>
          <w:szCs w:val="21"/>
        </w:rPr>
        <w:t xml:space="preserve">The European Digital Identity Wallet Architecture and Reference Framework</w:t>
      </w:r>
      <w:r>
        <w:rPr>
          <w:rFonts w:ascii="EB Garamond" w:hAnsi="EB Garamond" w:eastAsia="EB Garamond" w:cs="EB Garamond"/>
          <w:color w:val="1F2D33"/>
          <w:sz w:val="21"/>
          <w:b w:val="0"/>
          <w:bCs w:val="0"/>
          <w:i w:val="0"/>
          <w:iCs w:val="0"/>
          <w:szCs w:val="21"/>
        </w:rPr>
        <w:t xml:space="preserve">. Version 3.0.0. Technical specification and release notes, July 23, 2026. EU Digital Identity Wallet official repository. Version 3.0.0 superseded version 2.9.0 of May 21, 2026. </w:t>
      </w:r>
      <w:hyperlink r:id="rId191">
        <w:r>
          <w:rPr>
            <w:rFonts w:ascii="EB Garamond" w:hAnsi="EB Garamond" w:eastAsia="EB Garamond" w:cs="EB Garamond"/>
            <w:color w:val="1F2D33"/>
            <w:sz w:val="21"/>
            <w:b w:val="0"/>
            <w:bCs w:val="0"/>
            <w:i w:val="0"/>
            <w:iCs w:val="0"/>
            <w:rStyle w:val="Hyperlink"/>
            <w:szCs w:val="21"/>
          </w:rPr>
          <w:t xml:space="preserve">https://github.com/eu-digital-identity-wallet/eudi-doc-architecture-and-reference-framework/releases/tag/v3.0.0</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Technical specification and release notes, superseding version 2.9.0 of 2026-05-21.</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2026b. Cited in: Note 13.</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[SRC-S34-010] </w:t>
      </w:r>
      <w:r>
        <w:rPr>
          <w:rFonts w:ascii="EB Garamond" w:hAnsi="EB Garamond" w:eastAsia="EB Garamond" w:cs="EB Garamond"/>
          <w:color w:val="1F2D33"/>
          <w:sz w:val="21"/>
          <w:b w:val="0"/>
          <w:bCs w:val="0"/>
          <w:i w:val="0"/>
          <w:iCs w:val="0"/>
          <w:szCs w:val="21"/>
        </w:rPr>
        <w:t xml:space="preserve">European Parliament and Council of the European Union. 2022. Regulation (EU) 2022/2065 of 19 October 2022 on a Single Market for Digital Services (Digital Services Act).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277 (October 27, 2022): 1–102. CELEX 32022R2065. </w:t>
      </w:r>
      <w:hyperlink r:id="rId240">
        <w:r>
          <w:rPr>
            <w:rFonts w:ascii="EB Garamond" w:hAnsi="EB Garamond" w:eastAsia="EB Garamond" w:cs="EB Garamond"/>
            <w:color w:val="1F2D33"/>
            <w:sz w:val="21"/>
            <w:b w:val="0"/>
            <w:bCs w:val="0"/>
            <w:i w:val="0"/>
            <w:iCs w:val="0"/>
            <w:rStyle w:val="Hyperlink"/>
            <w:szCs w:val="21"/>
          </w:rPr>
          <w:t xml:space="preserve">https://eur-lex.europa.eu/legal-content/EN/TXT/?uri=CELEX:32022R2065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32022R2065; ELI reg/2022/2065/oj. Additional resource links: </w:t>
      </w:r>
      <w:hyperlink r:id="rId192">
        <w:r>
          <w:rPr>
            <w:rFonts w:ascii="EB Garamond" w:hAnsi="EB Garamond" w:eastAsia="EB Garamond" w:cs="EB Garamond"/>
            <w:color w:val="1F2D33"/>
            <w:sz w:val="21"/>
            <w:b w:val="0"/>
            <w:bCs w:val="0"/>
            <w:i w:val="0"/>
            <w:iCs w:val="0"/>
            <w:rStyle w:val="Hyperlink"/>
            <w:szCs w:val="21"/>
          </w:rPr>
          <w:t xml:space="preserve">https://eur-lex.europa.eu/eli/reg/2022/2065/oj/eng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2022/2065. Cited in: Note 32.</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[SRC-S34-011] </w:t>
      </w:r>
      <w:r>
        <w:rPr>
          <w:rFonts w:ascii="EB Garamond" w:hAnsi="EB Garamond" w:eastAsia="EB Garamond" w:cs="EB Garamond"/>
          <w:color w:val="1F2D33"/>
          <w:sz w:val="21"/>
          <w:b w:val="0"/>
          <w:bCs w:val="0"/>
          <w:i w:val="0"/>
          <w:iCs w:val="0"/>
          <w:szCs w:val="21"/>
        </w:rPr>
        <w:t xml:space="preserve">European Commission. n.d.-a. “Article 5: Prohibited AI Practices.” AI Act Service Desk. Explanatory service reproducing the AI Act; read with Regulation (EU) 2026/1744 and its phased application dates. </w:t>
      </w:r>
      <w:hyperlink r:id="rId193">
        <w:r>
          <w:rPr>
            <w:rFonts w:ascii="EB Garamond" w:hAnsi="EB Garamond" w:eastAsia="EB Garamond" w:cs="EB Garamond"/>
            <w:color w:val="1F2D33"/>
            <w:sz w:val="21"/>
            <w:b w:val="0"/>
            <w:bCs w:val="0"/>
            <w:i w:val="0"/>
            <w:iCs w:val="0"/>
            <w:rStyle w:val="Hyperlink"/>
            <w:szCs w:val="21"/>
          </w:rPr>
          <w:t xml:space="preserve">https://ai-act-service-desk.ec.europa.eu/en/ai-act/article-5</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service concerning Article 5 of Regulation (EU) 2024/1689. Accessed: 2026-07-14.</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n.d.-a. Cited in: Note 21.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[SRC-S34-012] </w:t>
      </w:r>
      <w:r>
        <w:rPr>
          <w:rFonts w:ascii="EB Garamond" w:hAnsi="EB Garamond" w:eastAsia="EB Garamond" w:cs="EB Garamond"/>
          <w:color w:val="1F2D33"/>
          <w:sz w:val="21"/>
          <w:b w:val="0"/>
          <w:bCs w:val="0"/>
          <w:i w:val="0"/>
          <w:iCs w:val="0"/>
          <w:szCs w:val="21"/>
        </w:rPr>
        <w:t xml:space="preserve">European Parliament and Council of the European Union. 2024a. Directive (EU) 2024/2831 of 23 October 2024 on improving working conditions in platform work.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2024/2831 (November 11, 2024). Article 29(1) sets a December 2, 2026 transposition deadline. CELEX 32024L2831. </w:t>
      </w:r>
      <w:hyperlink r:id="rId241">
        <w:r>
          <w:rPr>
            <w:rFonts w:ascii="EB Garamond" w:hAnsi="EB Garamond" w:eastAsia="EB Garamond" w:cs="EB Garamond"/>
            <w:color w:val="1F2D33"/>
            <w:sz w:val="21"/>
            <w:b w:val="0"/>
            <w:bCs w:val="0"/>
            <w:i w:val="0"/>
            <w:iCs w:val="0"/>
            <w:rStyle w:val="Hyperlink"/>
            <w:szCs w:val="21"/>
          </w:rPr>
          <w:t xml:space="preserve">https://eur-lex.europa.eu/legal-content/EN/TXT/?uri=CELEX:32024L2831</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EU law requiring transposition; sector-specific scope. CELEX 32024L2831; ELI dir/2024/2831/oj. Additional resource links: </w:t>
      </w:r>
      <w:hyperlink r:id="rId194">
        <w:r>
          <w:rPr>
            <w:rFonts w:ascii="EB Garamond" w:hAnsi="EB Garamond" w:eastAsia="EB Garamond" w:cs="EB Garamond"/>
            <w:color w:val="1F2D33"/>
            <w:sz w:val="21"/>
            <w:b w:val="0"/>
            <w:bCs w:val="0"/>
            <w:i w:val="0"/>
            <w:iCs w:val="0"/>
            <w:rStyle w:val="Hyperlink"/>
            <w:szCs w:val="21"/>
          </w:rPr>
          <w:t xml:space="preserve">https://eur-lex.europa.eu/eli/dir/2024/2831/oj/eng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Directive (EU) 2024/2831. Cited in: Note 20.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[SRC-S34-013] </w:t>
      </w:r>
      <w:r>
        <w:rPr>
          <w:rFonts w:ascii="EB Garamond" w:hAnsi="EB Garamond" w:eastAsia="EB Garamond" w:cs="EB Garamond"/>
          <w:color w:val="1F2D33"/>
          <w:sz w:val="21"/>
          <w:b w:val="0"/>
          <w:bCs w:val="0"/>
          <w:i w:val="0"/>
          <w:iCs w:val="0"/>
          <w:szCs w:val="21"/>
        </w:rPr>
        <w:t xml:space="preserve">European Parliament and Council of the European Union. 2019. Directive (EU) 2019/790 of 17 April 2019 on copyright and related rights in the Digital Single Market.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130 (May 17, 2019): 92–125. CELEX 32019L0790. </w:t>
      </w:r>
      <w:hyperlink r:id="rId195">
        <w:r>
          <w:rPr>
            <w:rFonts w:ascii="EB Garamond" w:hAnsi="EB Garamond" w:eastAsia="EB Garamond" w:cs="EB Garamond"/>
            <w:color w:val="1F2D33"/>
            <w:sz w:val="21"/>
            <w:b w:val="0"/>
            <w:bCs w:val="0"/>
            <w:i w:val="0"/>
            <w:iCs w:val="0"/>
            <w:rStyle w:val="Hyperlink"/>
            <w:szCs w:val="21"/>
          </w:rPr>
          <w:t xml:space="preserve">https://eur-lex.europa.eu/eli/dir/2019/790/oj/eng</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EU law transposed with national differences. CELEX 32019L0790; ELI dir/2019/790/oj.</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Directive (EU) 2019/790. Cited in: Note 30.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[SRC-S34-015] </w:t>
      </w:r>
      <w:r>
        <w:rPr>
          <w:rFonts w:ascii="EB Garamond" w:hAnsi="EB Garamond" w:eastAsia="EB Garamond" w:cs="EB Garamond"/>
          <w:color w:val="1F2D33"/>
          <w:sz w:val="21"/>
          <w:b w:val="0"/>
          <w:bCs w:val="0"/>
          <w:i w:val="0"/>
          <w:iCs w:val="0"/>
          <w:szCs w:val="21"/>
        </w:rPr>
        <w:t xml:space="preserve">European Parliament and Council of the European Union. 2017a. Regulation (EU) 2017/745 of 5 April 2017 on medical devices.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117 (May 5, 2017): 1–175. As amended. CELEX 32017R0745. </w:t>
      </w:r>
      <w:hyperlink r:id="rId242">
        <w:r>
          <w:rPr>
            <w:rFonts w:ascii="EB Garamond" w:hAnsi="EB Garamond" w:eastAsia="EB Garamond" w:cs="EB Garamond"/>
            <w:color w:val="1F2D33"/>
            <w:sz w:val="21"/>
            <w:b w:val="0"/>
            <w:bCs w:val="0"/>
            <w:i w:val="0"/>
            <w:iCs w:val="0"/>
            <w:rStyle w:val="Hyperlink"/>
            <w:szCs w:val="21"/>
          </w:rPr>
          <w:t xml:space="preserve">https://eur-lex.europa.eu/eli/reg/2017/745/oj</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32017R0745; ELI reg/2017/745/oj. Additional resource links: </w:t>
      </w:r>
      <w:hyperlink r:id="rId196">
        <w:r>
          <w:rPr>
            <w:rFonts w:ascii="EB Garamond" w:hAnsi="EB Garamond" w:eastAsia="EB Garamond" w:cs="EB Garamond"/>
            <w:color w:val="1F2D33"/>
            <w:sz w:val="21"/>
            <w:b w:val="0"/>
            <w:bCs w:val="0"/>
            <w:i w:val="0"/>
            <w:iCs w:val="0"/>
            <w:rStyle w:val="Hyperlink"/>
            <w:szCs w:val="21"/>
          </w:rPr>
          <w:t xml:space="preserve">https://eur-lex.europa.eu/eli/reg/2017/745/oj/eng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2017/745.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[SRC-S34-016] </w:t>
      </w:r>
      <w:r>
        <w:rPr>
          <w:rFonts w:ascii="EB Garamond" w:hAnsi="EB Garamond" w:eastAsia="EB Garamond" w:cs="EB Garamond"/>
          <w:color w:val="1F2D33"/>
          <w:sz w:val="21"/>
          <w:b w:val="0"/>
          <w:bCs w:val="0"/>
          <w:i w:val="0"/>
          <w:iCs w:val="0"/>
          <w:szCs w:val="21"/>
        </w:rPr>
        <w:t xml:space="preserve">European Parliament and Council of the European Union. 2017b. Regulation (EU) 2017/746 of 5 April 2017 on in vitro diagnostic medical devices.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117 (May 5, 2017): 176–332. As amended. CELEX 32017R0746. </w:t>
      </w:r>
      <w:hyperlink r:id="rId243">
        <w:r>
          <w:rPr>
            <w:rFonts w:ascii="EB Garamond" w:hAnsi="EB Garamond" w:eastAsia="EB Garamond" w:cs="EB Garamond"/>
            <w:color w:val="1F2D33"/>
            <w:sz w:val="21"/>
            <w:b w:val="0"/>
            <w:bCs w:val="0"/>
            <w:i w:val="0"/>
            <w:iCs w:val="0"/>
            <w:rStyle w:val="Hyperlink"/>
            <w:szCs w:val="21"/>
          </w:rPr>
          <w:t xml:space="preserve">https://eur-lex.europa.eu/legal-content/EN/TXT/?uri=CELEX:32017R0746</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CELEX 32017R0746; ELI reg/2017/746/oj. Additional resource links: </w:t>
      </w:r>
      <w:hyperlink r:id="rId197">
        <w:r>
          <w:rPr>
            <w:rFonts w:ascii="EB Garamond" w:hAnsi="EB Garamond" w:eastAsia="EB Garamond" w:cs="EB Garamond"/>
            <w:color w:val="1F2D33"/>
            <w:sz w:val="21"/>
            <w:b w:val="0"/>
            <w:bCs w:val="0"/>
            <w:i w:val="0"/>
            <w:iCs w:val="0"/>
            <w:rStyle w:val="Hyperlink"/>
            <w:szCs w:val="21"/>
          </w:rPr>
          <w:t xml:space="preserve">https://eur-lex.europa.eu/eli/reg/2017/746/oj/eng</w:t>
        </w:r>
      </w:hyperlink>
      <w:r>
        <w:rPr>
          <w:rFonts w:ascii="EB Garamond" w:hAnsi="EB Garamond" w:eastAsia="EB Garamond" w:cs="EB Garamond"/>
          <w:color w:val="1F2D33"/>
          <w:sz w:val="21"/>
          <w:b w:val="0"/>
          <w:bCs w:val="0"/>
          <w:i w:val="0"/>
          <w:iCs w:val="0"/>
          <w:szCs w:val="21"/>
        </w:rPr>
        <w:t xml:space="preserv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2017/746. Cited in: Note 25.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[SRC-S34-017] </w:t>
      </w:r>
      <w:r>
        <w:rPr>
          <w:rFonts w:ascii="EB Garamond" w:hAnsi="EB Garamond" w:eastAsia="EB Garamond" w:cs="EB Garamond"/>
          <w:color w:val="1F2D33"/>
          <w:sz w:val="21"/>
          <w:b w:val="0"/>
          <w:bCs w:val="0"/>
          <w:i w:val="0"/>
          <w:iCs w:val="0"/>
          <w:szCs w:val="21"/>
        </w:rPr>
        <w:t xml:space="preserve">European Data Protection Board (EDPB). 2023. </w:t>
      </w:r>
      <w:r>
        <w:rPr>
          <w:rFonts w:ascii="EB Garamond" w:hAnsi="EB Garamond" w:eastAsia="EB Garamond" w:cs="EB Garamond"/>
          <w:color w:val="1F2D33"/>
          <w:sz w:val="21"/>
          <w:b w:val="0"/>
          <w:bCs w:val="0"/>
          <w:i w:val="1"/>
          <w:iCs w:val="1"/>
          <w:szCs w:val="21"/>
        </w:rPr>
        <w:t xml:space="preserve">Guidelines 05/2022 on the Use of Facial Recognition Technology in the Area of Law Enforcement</w:t>
      </w:r>
      <w:r>
        <w:rPr>
          <w:rFonts w:ascii="EB Garamond" w:hAnsi="EB Garamond" w:eastAsia="EB Garamond" w:cs="EB Garamond"/>
          <w:color w:val="1F2D33"/>
          <w:sz w:val="21"/>
          <w:b w:val="0"/>
          <w:bCs w:val="0"/>
          <w:i w:val="0"/>
          <w:iCs w:val="0"/>
          <w:szCs w:val="21"/>
        </w:rPr>
        <w:t xml:space="preserve">. Version 2.0, April 26, 2023. </w:t>
      </w:r>
      <w:hyperlink r:id="rId198">
        <w:r>
          <w:rPr>
            <w:rFonts w:ascii="EB Garamond" w:hAnsi="EB Garamond" w:eastAsia="EB Garamond" w:cs="EB Garamond"/>
            <w:color w:val="1F2D33"/>
            <w:sz w:val="21"/>
            <w:b w:val="0"/>
            <w:bCs w:val="0"/>
            <w:i w:val="0"/>
            <w:iCs w:val="0"/>
            <w:rStyle w:val="Hyperlink"/>
            <w:szCs w:val="21"/>
          </w:rPr>
          <w:t xml:space="preserve">https://www.edpb.europa.eu/system/files/2023-05/edpb_guidelines_202304_frtlawenforcement_v2_en.pdf</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Official interpretive guidance, not legislation.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EDPB 2023. Cited in: Note 21.</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[SRC-S34-018] </w:t>
      </w:r>
      <w:r>
        <w:rPr>
          <w:rFonts w:ascii="EB Garamond" w:hAnsi="EB Garamond" w:eastAsia="EB Garamond" w:cs="EB Garamond"/>
          <w:color w:val="1F2D33"/>
          <w:sz w:val="21"/>
          <w:b w:val="0"/>
          <w:bCs w:val="0"/>
          <w:i w:val="0"/>
          <w:iCs w:val="0"/>
          <w:szCs w:val="21"/>
        </w:rPr>
        <w:t xml:space="preserve">Garante per la protezione dei dati personali (Garante). n.d. “Eredità digitale [Digital inheritance].” Institutional guidance reproducing Article 2-terdecies of Legislative Decree No. 196/2003, paragraphs 1–5. </w:t>
      </w:r>
      <w:hyperlink r:id="rId199">
        <w:r>
          <w:rPr>
            <w:rFonts w:ascii="EB Garamond" w:hAnsi="EB Garamond" w:eastAsia="EB Garamond" w:cs="EB Garamond"/>
            <w:color w:val="1F2D33"/>
            <w:sz w:val="21"/>
            <w:b w:val="0"/>
            <w:bCs w:val="0"/>
            <w:i w:val="0"/>
            <w:iCs w:val="0"/>
            <w:rStyle w:val="Hyperlink"/>
            <w:szCs w:val="21"/>
          </w:rPr>
          <w:t xml:space="preserve">https://www.garanteprivacy.it/temi/internet-e-nuove-tecnologie/eredita-digitale</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guidance; legal basis: Legislative Decree 196/2003, Article 2-terdecies. Accessed: 2026-07-14.</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Garante n.d.. Cited in: Note 48.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[SRC-S34-020] </w:t>
      </w:r>
      <w:r>
        <w:rPr>
          <w:rFonts w:ascii="EB Garamond" w:hAnsi="EB Garamond" w:eastAsia="EB Garamond" w:cs="EB Garamond"/>
          <w:color w:val="1F2D33"/>
          <w:sz w:val="21"/>
          <w:b w:val="0"/>
          <w:bCs w:val="0"/>
          <w:i w:val="0"/>
          <w:iCs w:val="0"/>
          <w:szCs w:val="21"/>
        </w:rPr>
        <w:t xml:space="preserve">European Commission. 2026a. </w:t>
      </w:r>
      <w:r>
        <w:rPr>
          <w:rFonts w:ascii="EB Garamond" w:hAnsi="EB Garamond" w:eastAsia="EB Garamond" w:cs="EB Garamond"/>
          <w:color w:val="1F2D33"/>
          <w:sz w:val="21"/>
          <w:b w:val="0"/>
          <w:bCs w:val="0"/>
          <w:i w:val="1"/>
          <w:iCs w:val="1"/>
          <w:szCs w:val="21"/>
        </w:rPr>
        <w:t xml:space="preserve">Code of Practice on Transparency of AI-Generated Content</w:t>
      </w:r>
      <w:r>
        <w:rPr>
          <w:rFonts w:ascii="EB Garamond" w:hAnsi="EB Garamond" w:eastAsia="EB Garamond" w:cs="EB Garamond"/>
          <w:color w:val="1F2D33"/>
          <w:sz w:val="21"/>
          <w:b w:val="0"/>
          <w:bCs w:val="0"/>
          <w:i w:val="0"/>
          <w:iCs w:val="0"/>
          <w:szCs w:val="21"/>
        </w:rPr>
        <w:t xml:space="preserve">. Final code published June 10, 2026; Commission Opinion dated July 8, 2026; AI Board adequacy assessment dated July 9, 2026. </w:t>
      </w:r>
      <w:hyperlink r:id="rId201">
        <w:r>
          <w:rPr>
            <w:rFonts w:ascii="EB Garamond" w:hAnsi="EB Garamond" w:eastAsia="EB Garamond" w:cs="EB Garamond"/>
            <w:color w:val="1F2D33"/>
            <w:sz w:val="21"/>
            <w:b w:val="0"/>
            <w:bCs w:val="0"/>
            <w:i w:val="0"/>
            <w:iCs w:val="0"/>
            <w:rStyle w:val="Hyperlink"/>
            <w:szCs w:val="21"/>
          </w:rPr>
          <w:t xml:space="preserve">https://digital-strategy.ec.europa.eu/en/library/commission-opinion-assessment-code-practice-transparency-ai-generated-content</w:t>
        </w:r>
      </w:hyperlink>
      <w:r>
        <w:rPr>
          <w:rFonts w:ascii="EB Garamond" w:hAnsi="EB Garamond" w:eastAsia="EB Garamond" w:cs="EB Garamond"/>
          <w:color w:val="1F2D33"/>
          <w:sz w:val="21"/>
          <w:b w:val="0"/>
          <w:bCs w:val="0"/>
          <w:i w:val="0"/>
          <w:iCs w:val="0"/>
          <w:szCs w:val="21"/>
        </w:rPr>
        <w:t xml:space="preserve">; </w:t>
      </w:r>
      <w:hyperlink r:id="rId200">
        <w:r>
          <w:rPr>
            <w:rFonts w:ascii="EB Garamond" w:hAnsi="EB Garamond" w:eastAsia="EB Garamond" w:cs="EB Garamond"/>
            <w:color w:val="1F2D33"/>
            <w:sz w:val="21"/>
            <w:b w:val="0"/>
            <w:bCs w:val="0"/>
            <w:i w:val="0"/>
            <w:iCs w:val="0"/>
            <w:rStyle w:val="Hyperlink"/>
            <w:szCs w:val="21"/>
          </w:rPr>
          <w:t xml:space="preserve">https://digital-strategy.ec.europa.eu/en/news/commission-publishes-code-practice-marking-and-labelling-ai-generated-content</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Voluntary instrument for implementing Article 50 of the AI Act; adherence does not constitute conclusive evidence of compliance.</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2026a. Cited in: Note 28.</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[SRC-S34-021] </w:t>
      </w:r>
      <w:r>
        <w:rPr>
          <w:rFonts w:ascii="EB Garamond" w:hAnsi="EB Garamond" w:eastAsia="EB Garamond" w:cs="EB Garamond"/>
          <w:color w:val="1F2D33"/>
          <w:sz w:val="21"/>
          <w:b w:val="0"/>
          <w:bCs w:val="0"/>
          <w:i w:val="0"/>
          <w:iCs w:val="0"/>
          <w:szCs w:val="21"/>
        </w:rPr>
        <w:t xml:space="preserve">European Commission. 2025. “General-Purpose AI Code of Practice Now Available.” July 10, 2025. Publication announcement for the final voluntary code supporting compliance with the AI Act. </w:t>
      </w:r>
      <w:hyperlink r:id="rId202">
        <w:r>
          <w:rPr>
            <w:rFonts w:ascii="EB Garamond" w:hAnsi="EB Garamond" w:eastAsia="EB Garamond" w:cs="EB Garamond"/>
            <w:color w:val="1F2D33"/>
            <w:sz w:val="21"/>
            <w:b w:val="0"/>
            <w:bCs w:val="0"/>
            <w:i w:val="0"/>
            <w:iCs w:val="0"/>
            <w:rStyle w:val="Hyperlink"/>
            <w:szCs w:val="21"/>
          </w:rPr>
          <w:t xml:space="preserve">https://digital-strategy.ec.europa.eu/en/news/general-purpose-ai-code-practice-now-available</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Voluntary instrument supporting compliance; GPAI obligations apply from 2025-08-02, with Commission enforcement powers scheduled to apply from 2026-08-02 and compliance for legacy GPAI models scheduled by 2027-08-02.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European Commission 2025. Cited in: Note 20.</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[SRC-EU-AI-OMNIBUS26] </w:t>
      </w:r>
      <w:r>
        <w:rPr>
          <w:rFonts w:ascii="EB Garamond" w:hAnsi="EB Garamond" w:eastAsia="EB Garamond" w:cs="EB Garamond"/>
          <w:color w:val="1F2D33"/>
          <w:sz w:val="21"/>
          <w:b w:val="0"/>
          <w:bCs w:val="0"/>
          <w:i w:val="0"/>
          <w:iCs w:val="0"/>
          <w:szCs w:val="21"/>
        </w:rPr>
        <w:t xml:space="preserve">European Parliament and Council of the European Union. 2026. Regulation (EU) 2026/1744 of 8 July 2026 amending Regulations (EU) 2024/1689, (EU) 2018/1139 and (EU) 2023/1230 as regards the simplification of the implementation of harmonised rules on artificial intelligence (Digital Omnibus on AI). </w:t>
      </w:r>
      <w:r>
        <w:rPr>
          <w:rFonts w:ascii="EB Garamond" w:hAnsi="EB Garamond" w:eastAsia="EB Garamond" w:cs="EB Garamond"/>
          <w:color w:val="1F2D33"/>
          <w:sz w:val="21"/>
          <w:b w:val="0"/>
          <w:bCs w:val="0"/>
          <w:i w:val="1"/>
          <w:iCs w:val="1"/>
          <w:szCs w:val="21"/>
        </w:rPr>
        <w:t xml:space="preserve">Official Journal of the European Union</w:t>
      </w:r>
      <w:r>
        <w:rPr>
          <w:rFonts w:ascii="EB Garamond" w:hAnsi="EB Garamond" w:eastAsia="EB Garamond" w:cs="EB Garamond"/>
          <w:color w:val="1F2D33"/>
          <w:sz w:val="21"/>
          <w:b w:val="0"/>
          <w:bCs w:val="0"/>
          <w:i w:val="0"/>
          <w:iCs w:val="0"/>
          <w:szCs w:val="21"/>
        </w:rPr>
        <w:t xml:space="preserve"> L, 2026/1744 (July 24, 2026). Entered into force July 27, 2026. CELEX 32026R1744. </w:t>
      </w:r>
      <w:hyperlink r:id="rId224">
        <w:r>
          <w:rPr>
            <w:rFonts w:ascii="EB Garamond" w:hAnsi="EB Garamond" w:eastAsia="EB Garamond" w:cs="EB Garamond"/>
            <w:color w:val="1F2D33"/>
            <w:sz w:val="21"/>
            <w:b w:val="0"/>
            <w:bCs w:val="0"/>
            <w:i w:val="0"/>
            <w:iCs w:val="0"/>
            <w:rStyle w:val="Hyperlink"/>
            <w:szCs w:val="21"/>
          </w:rPr>
          <w:t xml:space="preserve">https://eur-lex.europa.eu/legal-content/EN/TXT/?uri=CELEX:32026R1744</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Law in force from 2026-07-27; individual provisions have phased application.</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Regulation (EU) 2026/1744. Cited in: Notes 20, 28, 35.</w:t>
      </w:r>
    </w:p>
    <w:p>
      <w:pPr>
        <w:spacing w:after="60" w:line="270" w:lineRule="exact"/>
        <w:ind w:left="173" w:hanging="173"/>
        <w:keepLines/>
      </w:pPr>
      <w:r>
        <w:rPr>
          <w:rFonts w:ascii="EB Garamond" w:hAnsi="EB Garamond" w:eastAsia="EB Garamond" w:cs="EB Garamond"/>
          <w:color w:val="1F2D33"/>
          <w:sz w:val="21"/>
          <w:b w:val="1"/>
          <w:bCs w:val="1"/>
          <w:i w:val="0"/>
          <w:iCs w:val="0"/>
          <w:szCs w:val="21"/>
        </w:rPr>
        <w:t xml:space="preserve">[SRC-EUDI-IMPLEMENTATION] </w:t>
      </w:r>
      <w:r>
        <w:rPr>
          <w:rFonts w:ascii="EB Garamond" w:hAnsi="EB Garamond" w:eastAsia="EB Garamond" w:cs="EB Garamond"/>
          <w:color w:val="1F2D33"/>
          <w:sz w:val="21"/>
          <w:b w:val="0"/>
          <w:bCs w:val="0"/>
          <w:i w:val="0"/>
          <w:iCs w:val="0"/>
          <w:szCs w:val="21"/>
        </w:rPr>
        <w:t xml:space="preserve">European Commission. 2026. “European Digital Identity Wallet Implementation.” Updated June 22, 2026. </w:t>
      </w:r>
      <w:hyperlink r:id="rId225">
        <w:r>
          <w:rPr>
            <w:rFonts w:ascii="EB Garamond" w:hAnsi="EB Garamond" w:eastAsia="EB Garamond" w:cs="EB Garamond"/>
            <w:color w:val="1F2D33"/>
            <w:sz w:val="21"/>
            <w:b w:val="0"/>
            <w:bCs w:val="0"/>
            <w:i w:val="0"/>
            <w:iCs w:val="0"/>
            <w:rStyle w:val="Hyperlink"/>
            <w:szCs w:val="21"/>
          </w:rPr>
          <w:t xml:space="preserve">https://digital-strategy.ec.europa.eu/en/policies/eudi-wallet-implementation</w:t>
        </w:r>
      </w:hyperlink>
      <w:r>
        <w:rPr>
          <w:rFonts w:ascii="EB Garamond" w:hAnsi="EB Garamond" w:eastAsia="EB Garamond" w:cs="EB Garamond"/>
          <w:color w:val="1F2D33"/>
          <w:sz w:val="21"/>
          <w:b w:val="0"/>
          <w:bCs w:val="0"/>
          <w:i w:val="0"/>
          <w:iCs w:val="0"/>
          <w:szCs w:val="21"/>
        </w:rPr>
        <w:t xml:space="preserve">.</w:t>
      </w:r>
      <w:r>
        <w:rPr>
          <w:rFonts w:ascii="EB Garamond" w:hAnsi="EB Garamond" w:eastAsia="EB Garamond" w:cs="EB Garamond"/>
          <w:color w:val="1F2D33"/>
          <w:sz w:val="21"/>
          <w:b w:val="0"/>
          <w:bCs w:val="0"/>
          <w:i w:val="0"/>
          <w:iCs w:val="0"/>
          <w:szCs w:val="21"/>
        </w:rPr>
        <w:t xml:space="preserve"> Institutional implementation context; retained separately from the version 3.0.0 technical specification. Accessed: 2026-07-17.</w:t>
      </w:r>
      <w:r>
        <w:br/>
        <w:rPr>
          <w:rFonts w:ascii="EB Garamond" w:hAnsi="EB Garamond" w:eastAsia="EB Garamond" w:cs="EB Garamond"/>
          <w:sz w:val="21"/>
          <w:szCs w:val="21"/>
        </w:rPr>
      </w:r>
      <w:r>
        <w:rPr>
          <w:rFonts w:ascii="EB Garamond" w:hAnsi="EB Garamond" w:eastAsia="EB Garamond" w:cs="EB Garamond"/>
          <w:color w:val="1F2D33"/>
          <w:sz w:val="21"/>
          <w:b w:val="0"/>
          <w:bCs w:val="0"/>
          <w:i w:val="0"/>
          <w:iCs w:val="0"/>
          <w:szCs w:val="21"/>
        </w:rPr>
        <w:t xml:space="preserve">Book key: Not in Documentary Bibliography. Cited in: Not cited, context only.</w:t>
      </w:r>
    </w:p>
    <w:p>
      <w:pPr>
        <w:pStyle w:val="Heading1"/>
        <w:spacing w:line="460" w:lineRule="exact"/>
      </w:pPr>
      <w:r>
        <w:t>Version and updates</w:t>
        <w:rPr>
          <w:rFonts w:ascii="EB Garamond" w:hAnsi="EB Garamond" w:eastAsia="EB Garamond" w:cs="EB Garamond"/>
          <w:sz w:val="40"/>
          <w:szCs w:val="40"/>
          <w:color w:val="183445"/>
        </w:rPr>
      </w:r>
    </w:p>
    <w:p>
      <w:pPr>
        <w:keepLines w:val="0"/>
        <w:spacing w:line="270" w:lineRule="exact"/>
      </w:pPr>
      <w:r>
        <w:rPr>
          <w:rFonts w:ascii="EB Garamond" w:hAnsi="EB Garamond" w:eastAsia="EB Garamond" w:cs="EB Garamond"/>
          <w:color w:val="1F2D33"/>
          <w:sz w:val="21"/>
          <w:szCs w:val="21"/>
        </w:rPr>
        <w:t>This EN-US-R2.3 collection is compatible with English interior V51.2 and preserves its July 2026 documentary snapshot. It replaces the previous English resources; earlier download URLs redirect to R2.3.</w:t>
      </w:r>
    </w:p>
    <w:sectPr>
      <w:headerReference w:type="default" r:id="rId9"/>
      <w:footerReference w:type="default" r:id="rId10"/>
      <w:footerReference w:type="first" r:id="rId11"/>
      <w:pgSz w:w="12240" w:h="15840"/>
      <w:pgMar w:top="1008" w:right="1008" w:bottom="1008" w:left="1008" w:header="432" w:footer="432" w:gutter="0"/>
      <w:cols w:space="720"/>
      <w:titlePg/>
      <w:docGrid w:linePitch="360"/>
    </w:sectPr>
  </w:body>
</w:document>
</file>

<file path=word/fontTable.xml><?xml version="1.0" encoding="utf-8"?>
<w:fonts xmlns:w="http://schemas.openxmlformats.org/wordprocessingml/2006/main" xmlns:r="http://schemas.openxmlformats.org/officeDocument/2006/relationships">
  <w:font w:name="EB Garamond">
    <w:altName w:val="Garamond"/>
    <w:charset w:val="00"/>
    <w:family w:val="auto"/>
    <w:pitch w:val="variable"/>
    <w:sig w:usb0="E00002FF" w:usb1="02000413" w:usb2="00000000" w:usb3="00000000" w:csb0="0000019F" w:csb1="00000000"/>
    <w:embedRegular r:id="rId1" w:fontKey="{8803E84C-4695-4705-838C-D4FC599F85E4}"/>
    <w:embedBold r:id="rId2" w:fontKey="{34828F21-0C39-43B1-A4DE-E08636D6C3A3}"/>
    <w:embedItalic r:id="rId3" w:fontKey="{16841129-51C1-4C09-BE4D-4D07B4C2C00A}"/>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10152" w:val="left"/>
      </w:tabs>
      <w:spacing w:before="0" w:after="0" w:line="200" w:lineRule="exact"/>
    </w:pPr>
    <w:r>
      <w:rPr>
        <w:rFonts w:ascii="EB Garamond" w:hAnsi="EB Garamond" w:eastAsia="EB Garamond" w:cs="EB Garamond"/>
        <w:color w:val="65757D"/>
        <w:sz w:val="16"/>
        <w:szCs w:val="16"/>
      </w:rPr>
      <w:t>2050 - EN-US-R2.3 - Documentary snapshot July 2026</w:t>
    </w:r>
    <w:r>
      <w:tab/>
      <w:rPr>
        <w:rFonts w:ascii="EB Garamond" w:hAnsi="EB Garamond" w:eastAsia="EB Garamond" w:cs="EB Garamond"/>
        <w:sz w:val="16"/>
        <w:szCs w:val="16"/>
        <w:color w:val="65757D"/>
      </w:rPr>
    </w:r>
    <w:r>
      <w:rPr>
        <w:rFonts w:ascii="EB Garamond" w:hAnsi="EB Garamond" w:eastAsia="EB Garamond" w:cs="EB Garamond"/>
        <w:color w:val="65757D"/>
        <w:sz w:val="16"/>
        <w:szCs w:val="16"/>
      </w:rPr>
      <w:fldChar w:fldCharType="begin"/>
      <w:instrText xml:space="preserve"> PAGE </w:instrText>
      <w:fldChar w:fldCharType="separate"/>
      <w:t>1</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spacing w:line="200" w:lineRule="exact"/>
    </w:pPr>
    <w:r>
      <w:rPr>
        <w:rFonts w:ascii="EB Garamond" w:hAnsi="EB Garamond" w:eastAsia="EB Garamond" w:cs="EB Garamond"/>
        <w:color w:val="65757D"/>
        <w:sz w:val="16"/>
        <w:szCs w:val="16"/>
      </w:rPr>
      <w:t>https://www.corneritaliano.com/en/2050/resources/</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line="200" w:lineRule="exact"/>
      <w:jc w:val="left"/>
    </w:pPr>
    <w:r>
      <w:rPr>
        <w:rFonts w:ascii="EB Garamond" w:hAnsi="EB Garamond" w:eastAsia="EB Garamond" w:cs="EB Garamond"/>
        <w:b/>
        <w:color w:val="65757D"/>
        <w:sz w:val="16"/>
        <w:szCs w:val="16"/>
      </w:rPr>
      <w:t xml:space="preserve">2050  |  OFFICIAL RESOURCES  |  </w:t>
    </w:r>
    <w:r>
      <w:rPr>
        <w:rFonts w:ascii="EB Garamond" w:hAnsi="EB Garamond" w:eastAsia="EB Garamond" w:cs="EB Garamond"/>
        <w:color w:val="65757D"/>
        <w:sz w:val="16"/>
        <w:szCs w:val="16"/>
      </w:rPr>
      <w:t>Searchable Bibliography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EB Garamond" w:hAnsi="EB Garamond" w:eastAsia="EB Garamond" w:cs="EB Garamond"/>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EB Garamond" w:hAnsi="EB Garamond" w:eastAsia="EB Garamond" w:cs="EB Garamond"/>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EB Garamond" w:hAnsi="EB Garamond" w:eastAsia="EB Garamond" w:cs="EB Garamond"/>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EB Garamond" w:hAnsi="EB Garamond" w:eastAsia="EB Garamond" w:cs="EB Garamond"/>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embedTrueTypeFonts/>
  <w:saveSubsetFonts w:val="fals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EB Garamond" w:hAnsi="EB Garamond" w:eastAsia="EB Garamond" w:cs="EB Garamond"/>
        <w:sz w:val="21"/>
        <w:szCs w:val="21"/>
        <w:lang w:val="en-US" w:eastAsia="en-US" w:bidi="ar-SA"/>
        <w:color w:val="1F2D33"/>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before="0" w:after="100" w:line="270" w:lineRule="exact"/>
    </w:pPr>
    <w:rPr>
      <w:rFonts w:ascii="EB Garamond" w:hAnsi="EB Garamond" w:eastAsia="EB Garamond" w:cs="EB Garamond"/>
      <w:color w:val="1F2D33"/>
      <w:sz w:val="21"/>
      <w:szCs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HeaderChar">
    <w:name w:val="Header Char"/>
    <w:basedOn w:val="DefaultParagraphFont"/>
    <w:link w:val="Header"/>
    <w:uiPriority w:val="99"/>
    <w:rsid w:val="00E618BF"/>
    <w:rPr>
      <w:rFonts w:ascii="EB Garamond" w:hAnsi="EB Garamond" w:eastAsia="EB Garamond" w:cs="EB Garamond"/>
    </w:rPr>
  </w:style>
  <w:style w:type="paragraph" w:styleId="Footer">
    <w:name w:val="footer"/>
    <w:basedOn w:val="Normal"/>
    <w:link w:val="FooterChar"/>
    <w:uiPriority w:val="99"/>
    <w:unhideWhenUsed/>
    <w:rsid w:val="00E618BF"/>
    <w:pPr>
      <w:tabs>
        <w:tab w:val="center" w:pos="4680"/>
        <w:tab w:val="right" w:pos="9360"/>
      </w:tabs>
      <w:spacing w:after="0" w:line="240" w:lineRule="auto"/>
    </w:pPr>
    <w:rPr>
      <w:rFonts w:ascii="EB Garamond" w:hAnsi="EB Garamond" w:eastAsia="EB Garamond" w:cs="EB Garamond"/>
      <w:sz w:val="16"/>
      <w:szCs w:val="16"/>
      <w:color w:val="65757D"/>
    </w:rPr>
  </w:style>
  <w:style w:type="character" w:customStyle="1" w:styleId="FooterChar">
    <w:name w:val="Footer Char"/>
    <w:basedOn w:val="DefaultParagraphFont"/>
    <w:link w:val="Footer"/>
    <w:uiPriority w:val="99"/>
    <w:rsid w:val="00E618BF"/>
    <w:rPr>
      <w:rFonts w:ascii="EB Garamond" w:hAnsi="EB Garamond" w:eastAsia="EB Garamond" w:cs="EB Garamond"/>
    </w:rPr>
  </w:style>
  <w:style w:type="paragraph" w:styleId="Heading1">
    <w:name w:val="heading 1"/>
    <w:basedOn w:val="Normal"/>
    <w:next w:val="Normal"/>
    <w:link w:val="Heading1Char"/>
    <w:uiPriority w:val="9"/>
    <w:qFormat/>
    <w:rsid w:val="00FC693F"/>
    <w:pPr>
      <w:keepNext/>
      <w:keepLines/>
      <w:spacing w:before="320" w:after="160"/>
      <w:outlineLvl w:val="0"/>
    </w:pPr>
    <w:rPr>
      <w:rFonts w:ascii="EB Garamond" w:hAnsi="EB Garamond" w:eastAsia="EB Garamond" w:cs="EB Garamond"/>
      <w:b/>
      <w:bCs/>
      <w:color w:val="183445"/>
      <w:sz w:val="40"/>
      <w:szCs w:val="40"/>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EB Garamond" w:hAnsi="EB Garamond" w:eastAsia="EB Garamond" w:cs="EB Garamond"/>
      <w:b/>
      <w:bCs/>
      <w:color w:val="B04A35"/>
      <w:sz w:val="30"/>
      <w:szCs w:val="30"/>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EB Garamond" w:hAnsi="EB Garamond" w:eastAsia="EB Garamond" w:cs="EB Garamond"/>
      <w:b/>
      <w:bCs/>
      <w:color w:val="183445"/>
      <w:sz w:val="23"/>
      <w:szCs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rPr>
      <w:rFonts w:ascii="EB Garamond" w:hAnsi="EB Garamond" w:eastAsia="EB Garamond" w:cs="EB Garamond"/>
    </w:rPr>
  </w:style>
  <w:style w:type="table" w:default="1" w:styleId="TableNormal">
    <w:name w:val="Normal Table"/>
    <w:uiPriority w:val="99"/>
    <w:semiHidden/>
    <w:unhideWhenUsed/>
    <w:tblPr>
      <w:tblInd w:w="0" w:type="dxa"/>
      <w:tblCellMar>
        <w:top w:w="0" w:type="dxa"/>
        <w:left w:w="108" w:type="dxa"/>
        <w:bottom w:w="0" w:type="dxa"/>
        <w:right w:w="108" w:type="dxa"/>
      </w:tblCellMar>
    </w:tblPr>
    <w:rPr>
      <w:rFonts w:ascii="EB Garamond" w:hAnsi="EB Garamond" w:eastAsia="EB Garamond" w:cs="EB Garamond"/>
    </w:rPr>
  </w:style>
  <w:style w:type="numbering" w:default="1" w:styleId="NoList">
    <w:name w:val="No List"/>
    <w:uiPriority w:val="99"/>
    <w:semiHidden/>
    <w:unhideWhenUsed/>
    <w:rPr>
      <w:rFonts w:ascii="EB Garamond" w:hAnsi="EB Garamond" w:eastAsia="EB Garamond" w:cs="EB Garamond"/>
    </w:rPr>
  </w:style>
  <w:style w:type="paragraph" w:styleId="NoSpacing">
    <w:name w:val="No Spacing"/>
    <w:uiPriority w:val="1"/>
    <w:qFormat/>
    <w:rsid w:val="00FC693F"/>
    <w:pPr>
      <w:spacing w:after="0" w:line="240" w:lineRule="auto"/>
    </w:pPr>
    <w:rPr>
      <w:rFonts w:ascii="EB Garamond" w:hAnsi="EB Garamond" w:eastAsia="EB Garamond" w:cs="EB Garamond"/>
    </w:r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keepNext/>
      <w:pBdr>
        <w:bottom w:val="single" w:sz="8" w:space="4" w:color="4F81BD" w:themeColor="accent1"/>
      </w:pBdr>
      <w:spacing w:after="160" w:line="240" w:lineRule="auto" w:before="0"/>
      <w:contextualSpacing/>
    </w:pPr>
    <w:rPr>
      <w:rFonts w:ascii="EB Garamond" w:hAnsi="EB Garamond" w:eastAsia="EB Garamond" w:cs="EB Garamond"/>
      <w:b/>
      <w:color w:val="183445"/>
      <w:spacing w:val="5"/>
      <w:kern w:val="28"/>
      <w:sz w:val="56"/>
      <w:szCs w:val="56"/>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keepNext/>
      <w:numPr>
        <w:ilvl w:val="1"/>
      </w:numPr>
      <w:spacing w:before="0" w:after="240"/>
    </w:pPr>
    <w:rPr>
      <w:rFonts w:ascii="EB Garamond" w:hAnsi="EB Garamond" w:eastAsia="EB Garamond" w:cs="EB Garamond"/>
      <w:b w:val="0"/>
      <w:i/>
      <w:iCs/>
      <w:color w:val="5A686F"/>
      <w:spacing w:val="15"/>
      <w:sz w:val="26"/>
      <w:szCs w:val="26"/>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rPr>
      <w:rFonts w:ascii="EB Garamond" w:hAnsi="EB Garamond" w:eastAsia="EB Garamond" w:cs="EB Garamond"/>
    </w:rPr>
  </w:style>
  <w:style w:type="paragraph" w:styleId="BodyText">
    <w:name w:val="Body Text"/>
    <w:basedOn w:val="Normal"/>
    <w:link w:val="BodyTextChar"/>
    <w:uiPriority w:val="99"/>
    <w:unhideWhenUsed/>
    <w:rsid w:val="00AA1D8D"/>
    <w:pPr>
      <w:spacing w:after="120"/>
    </w:pPr>
    <w:rPr>
      <w:rFonts w:ascii="EB Garamond" w:hAnsi="EB Garamond" w:eastAsia="EB Garamond" w:cs="EB Garamond"/>
    </w:rPr>
  </w:style>
  <w:style w:type="character" w:customStyle="1" w:styleId="BodyTextChar">
    <w:name w:val="Body Text Char"/>
    <w:basedOn w:val="DefaultParagraphFont"/>
    <w:link w:val="BodyText"/>
    <w:uiPriority w:val="99"/>
    <w:rsid w:val="00AA1D8D"/>
    <w:rPr>
      <w:rFonts w:ascii="EB Garamond" w:hAnsi="EB Garamond" w:eastAsia="EB Garamond" w:cs="EB Garamond"/>
    </w:rPr>
  </w:style>
  <w:style w:type="paragraph" w:styleId="BodyText2">
    <w:name w:val="Body Text 2"/>
    <w:basedOn w:val="Normal"/>
    <w:link w:val="BodyText2Char"/>
    <w:uiPriority w:val="99"/>
    <w:unhideWhenUsed/>
    <w:rsid w:val="00AA1D8D"/>
    <w:pPr>
      <w:spacing w:after="120" w:line="480" w:lineRule="auto"/>
    </w:pPr>
    <w:rPr>
      <w:rFonts w:ascii="EB Garamond" w:hAnsi="EB Garamond" w:eastAsia="EB Garamond" w:cs="EB Garamond"/>
    </w:rPr>
  </w:style>
  <w:style w:type="character" w:customStyle="1" w:styleId="BodyText2Char">
    <w:name w:val="Body Text 2 Char"/>
    <w:basedOn w:val="DefaultParagraphFont"/>
    <w:link w:val="BodyText2"/>
    <w:uiPriority w:val="99"/>
    <w:rsid w:val="00AA1D8D"/>
    <w:rPr>
      <w:rFonts w:ascii="EB Garamond" w:hAnsi="EB Garamond" w:eastAsia="EB Garamond" w:cs="EB Garamond"/>
    </w:rPr>
  </w:style>
  <w:style w:type="paragraph" w:styleId="BodyText3">
    <w:name w:val="Body Text 3"/>
    <w:basedOn w:val="Normal"/>
    <w:link w:val="BodyText3Char"/>
    <w:uiPriority w:val="99"/>
    <w:unhideWhenUsed/>
    <w:rsid w:val="00AA1D8D"/>
    <w:pPr>
      <w:spacing w:after="120"/>
    </w:pPr>
    <w:rPr>
      <w:sz w:val="16"/>
      <w:szCs w:val="16"/>
      <w:rFonts w:ascii="EB Garamond" w:hAnsi="EB Garamond" w:eastAsia="EB Garamond" w:cs="EB Garamond"/>
    </w:rPr>
  </w:style>
  <w:style w:type="character" w:customStyle="1" w:styleId="BodyText3Char">
    <w:name w:val="Body Text 3 Char"/>
    <w:basedOn w:val="DefaultParagraphFont"/>
    <w:link w:val="BodyText3"/>
    <w:uiPriority w:val="99"/>
    <w:rsid w:val="00AA1D8D"/>
    <w:rPr>
      <w:sz w:val="16"/>
      <w:szCs w:val="16"/>
      <w:rFonts w:ascii="EB Garamond" w:hAnsi="EB Garamond" w:eastAsia="EB Garamond" w:cs="EB Garamond"/>
    </w:rPr>
  </w:style>
  <w:style w:type="paragraph" w:styleId="List">
    <w:name w:val="List"/>
    <w:basedOn w:val="Normal"/>
    <w:uiPriority w:val="99"/>
    <w:unhideWhenUsed/>
    <w:rsid w:val="00AA1D8D"/>
    <w:pPr>
      <w:ind w:left="360" w:hanging="360"/>
      <w:contextualSpacing/>
    </w:pPr>
    <w:rPr>
      <w:rFonts w:ascii="EB Garamond" w:hAnsi="EB Garamond" w:eastAsia="EB Garamond" w:cs="EB Garamond"/>
    </w:rPr>
  </w:style>
  <w:style w:type="paragraph" w:styleId="List2">
    <w:name w:val="List 2"/>
    <w:basedOn w:val="Normal"/>
    <w:uiPriority w:val="99"/>
    <w:unhideWhenUsed/>
    <w:rsid w:val="00326F90"/>
    <w:pPr>
      <w:ind w:left="720" w:hanging="360"/>
      <w:contextualSpacing/>
    </w:pPr>
    <w:rPr>
      <w:rFonts w:ascii="EB Garamond" w:hAnsi="EB Garamond" w:eastAsia="EB Garamond" w:cs="EB Garamond"/>
    </w:rPr>
  </w:style>
  <w:style w:type="paragraph" w:styleId="List3">
    <w:name w:val="List 3"/>
    <w:basedOn w:val="Normal"/>
    <w:uiPriority w:val="99"/>
    <w:unhideWhenUsed/>
    <w:rsid w:val="00326F90"/>
    <w:pPr>
      <w:ind w:left="1080" w:hanging="360"/>
      <w:contextualSpacing/>
    </w:pPr>
    <w:rPr>
      <w:rFonts w:ascii="EB Garamond" w:hAnsi="EB Garamond" w:eastAsia="EB Garamond" w:cs="EB Garamond"/>
    </w:rPr>
  </w:style>
  <w:style w:type="paragraph" w:styleId="ListBullet">
    <w:name w:val="List Bullet"/>
    <w:basedOn w:val="Normal"/>
    <w:uiPriority w:val="99"/>
    <w:unhideWhenUsed/>
    <w:rsid w:val="00326F90"/>
    <w:pPr>
      <w:numPr>
        <w:numId w:val="1"/>
      </w:numPr>
      <w:contextualSpacing/>
    </w:pPr>
    <w:rPr>
      <w:rFonts w:ascii="EB Garamond" w:hAnsi="EB Garamond" w:eastAsia="EB Garamond" w:cs="EB Garamond"/>
    </w:rPr>
  </w:style>
  <w:style w:type="paragraph" w:styleId="ListBullet2">
    <w:name w:val="List Bullet 2"/>
    <w:basedOn w:val="Normal"/>
    <w:uiPriority w:val="99"/>
    <w:unhideWhenUsed/>
    <w:rsid w:val="00326F90"/>
    <w:pPr>
      <w:numPr>
        <w:numId w:val="2"/>
      </w:numPr>
      <w:contextualSpacing/>
    </w:pPr>
    <w:rPr>
      <w:rFonts w:ascii="EB Garamond" w:hAnsi="EB Garamond" w:eastAsia="EB Garamond" w:cs="EB Garamond"/>
    </w:rPr>
  </w:style>
  <w:style w:type="paragraph" w:styleId="ListBullet3">
    <w:name w:val="List Bullet 3"/>
    <w:basedOn w:val="Normal"/>
    <w:uiPriority w:val="99"/>
    <w:unhideWhenUsed/>
    <w:rsid w:val="00326F90"/>
    <w:pPr>
      <w:numPr>
        <w:numId w:val="3"/>
      </w:numPr>
      <w:contextualSpacing/>
    </w:pPr>
    <w:rPr>
      <w:rFonts w:ascii="EB Garamond" w:hAnsi="EB Garamond" w:eastAsia="EB Garamond" w:cs="EB Garamond"/>
    </w:rPr>
  </w:style>
  <w:style w:type="paragraph" w:styleId="ListNumber">
    <w:name w:val="List Number"/>
    <w:basedOn w:val="Normal"/>
    <w:uiPriority w:val="99"/>
    <w:unhideWhenUsed/>
    <w:rsid w:val="00326F90"/>
    <w:pPr>
      <w:numPr>
        <w:numId w:val="5"/>
      </w:numPr>
      <w:contextualSpacing/>
    </w:pPr>
    <w:rPr>
      <w:rFonts w:ascii="EB Garamond" w:hAnsi="EB Garamond" w:eastAsia="EB Garamond" w:cs="EB Garamond"/>
    </w:rPr>
  </w:style>
  <w:style w:type="paragraph" w:styleId="ListNumber2">
    <w:name w:val="List Number 2"/>
    <w:basedOn w:val="Normal"/>
    <w:uiPriority w:val="99"/>
    <w:unhideWhenUsed/>
    <w:rsid w:val="0029639D"/>
    <w:pPr>
      <w:numPr>
        <w:numId w:val="6"/>
      </w:numPr>
      <w:contextualSpacing/>
    </w:pPr>
    <w:rPr>
      <w:rFonts w:ascii="EB Garamond" w:hAnsi="EB Garamond" w:eastAsia="EB Garamond" w:cs="EB Garamond"/>
    </w:rPr>
  </w:style>
  <w:style w:type="paragraph" w:styleId="ListNumber3">
    <w:name w:val="List Number 3"/>
    <w:basedOn w:val="Normal"/>
    <w:uiPriority w:val="99"/>
    <w:unhideWhenUsed/>
    <w:rsid w:val="0029639D"/>
    <w:pPr>
      <w:numPr>
        <w:numId w:val="7"/>
      </w:numPr>
      <w:contextualSpacing/>
    </w:pPr>
    <w:rPr>
      <w:rFonts w:ascii="EB Garamond" w:hAnsi="EB Garamond" w:eastAsia="EB Garamond" w:cs="EB Garamond"/>
    </w:rPr>
  </w:style>
  <w:style w:type="paragraph" w:styleId="ListContinue">
    <w:name w:val="List Continue"/>
    <w:basedOn w:val="Normal"/>
    <w:uiPriority w:val="99"/>
    <w:unhideWhenUsed/>
    <w:rsid w:val="0029639D"/>
    <w:pPr>
      <w:spacing w:after="120"/>
      <w:ind w:left="360"/>
      <w:contextualSpacing/>
    </w:pPr>
    <w:rPr>
      <w:rFonts w:ascii="EB Garamond" w:hAnsi="EB Garamond" w:eastAsia="EB Garamond" w:cs="EB Garamond"/>
    </w:rPr>
  </w:style>
  <w:style w:type="paragraph" w:styleId="ListContinue2">
    <w:name w:val="List Continue 2"/>
    <w:basedOn w:val="Normal"/>
    <w:uiPriority w:val="99"/>
    <w:unhideWhenUsed/>
    <w:rsid w:val="0029639D"/>
    <w:pPr>
      <w:spacing w:after="120"/>
      <w:ind w:left="720"/>
      <w:contextualSpacing/>
    </w:pPr>
    <w:rPr>
      <w:rFonts w:ascii="EB Garamond" w:hAnsi="EB Garamond" w:eastAsia="EB Garamond" w:cs="EB Garamond"/>
    </w:rPr>
  </w:style>
  <w:style w:type="paragraph" w:styleId="ListContinue3">
    <w:name w:val="List Continue 3"/>
    <w:basedOn w:val="Normal"/>
    <w:uiPriority w:val="99"/>
    <w:unhideWhenUsed/>
    <w:rsid w:val="0029639D"/>
    <w:pPr>
      <w:spacing w:after="120"/>
      <w:ind w:left="1080"/>
      <w:contextualSpacing/>
    </w:pPr>
    <w:rPr>
      <w:rFonts w:ascii="EB Garamond" w:hAnsi="EB Garamond" w:eastAsia="EB Garamond" w:cs="EB Garamond"/>
    </w:r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Fonts w:ascii="EB Garamond" w:hAnsi="EB Garamond" w:eastAsia="EB Garamond" w:cs="EB Garamond"/>
    </w:rPr>
  </w:style>
  <w:style w:type="character" w:customStyle="1" w:styleId="QuoteChar">
    <w:name w:val="Quote Char"/>
    <w:basedOn w:val="DefaultParagraphFont"/>
    <w:link w:val="Quote"/>
    <w:uiPriority w:val="29"/>
    <w:rsid w:val="00FC693F"/>
    <w:rPr>
      <w:i/>
      <w:iCs/>
      <w:color w:val="000000"/>
      <w:rFonts w:ascii="EB Garamond" w:hAnsi="EB Garamond" w:eastAsia="EB Garamond" w:cs="EB Garamond"/>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Fonts w:ascii="EB Garamond" w:hAnsi="EB Garamond" w:eastAsia="EB Garamond" w:cs="EB Garamond"/>
    </w:rPr>
  </w:style>
  <w:style w:type="character" w:styleId="Strong">
    <w:name w:val="Strong"/>
    <w:basedOn w:val="DefaultParagraphFont"/>
    <w:uiPriority w:val="22"/>
    <w:qFormat/>
    <w:rsid w:val="00FC693F"/>
    <w:rPr>
      <w:b/>
      <w:bCs/>
      <w:rFonts w:ascii="EB Garamond" w:hAnsi="EB Garamond" w:eastAsia="EB Garamond" w:cs="EB Garamond"/>
    </w:rPr>
  </w:style>
  <w:style w:type="character" w:styleId="Emphasis">
    <w:name w:val="Emphasis"/>
    <w:basedOn w:val="DefaultParagraphFont"/>
    <w:uiPriority w:val="20"/>
    <w:qFormat/>
    <w:rsid w:val="00FC693F"/>
    <w:rPr>
      <w:i/>
      <w:iCs/>
      <w:rFonts w:ascii="EB Garamond" w:hAnsi="EB Garamond" w:eastAsia="EB Garamond" w:cs="EB Garamond"/>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Fonts w:ascii="EB Garamond" w:hAnsi="EB Garamond" w:eastAsia="EB Garamond" w:cs="EB Garamond"/>
    </w:rPr>
  </w:style>
  <w:style w:type="character" w:customStyle="1" w:styleId="IntenseQuoteChar">
    <w:name w:val="Intense Quote Char"/>
    <w:basedOn w:val="DefaultParagraphFont"/>
    <w:link w:val="IntenseQuote"/>
    <w:uiPriority w:val="30"/>
    <w:rsid w:val="00FC693F"/>
    <w:rPr>
      <w:b/>
      <w:bCs/>
      <w:i/>
      <w:iCs/>
      <w:color w:val="4F81BD"/>
      <w:rFonts w:ascii="EB Garamond" w:hAnsi="EB Garamond" w:eastAsia="EB Garamond" w:cs="EB Garamond"/>
    </w:rPr>
  </w:style>
  <w:style w:type="character" w:styleId="SubtleEmphasis">
    <w:name w:val="Subtle Emphasis"/>
    <w:basedOn w:val="DefaultParagraphFont"/>
    <w:uiPriority w:val="19"/>
    <w:qFormat/>
    <w:rsid w:val="00FC693F"/>
    <w:rPr>
      <w:i/>
      <w:iCs/>
      <w:color w:val="808080"/>
      <w:rFonts w:ascii="EB Garamond" w:hAnsi="EB Garamond" w:eastAsia="EB Garamond" w:cs="EB Garamond"/>
    </w:rPr>
  </w:style>
  <w:style w:type="character" w:styleId="IntenseEmphasis">
    <w:name w:val="Intense Emphasis"/>
    <w:basedOn w:val="DefaultParagraphFont"/>
    <w:uiPriority w:val="21"/>
    <w:qFormat/>
    <w:rsid w:val="00FC693F"/>
    <w:rPr>
      <w:b/>
      <w:bCs/>
      <w:i/>
      <w:iCs/>
      <w:color w:val="4F81BD"/>
      <w:rFonts w:ascii="EB Garamond" w:hAnsi="EB Garamond" w:eastAsia="EB Garamond" w:cs="EB Garamond"/>
    </w:rPr>
  </w:style>
  <w:style w:type="character" w:styleId="SubtleReference">
    <w:name w:val="Subtle Reference"/>
    <w:basedOn w:val="DefaultParagraphFont"/>
    <w:uiPriority w:val="31"/>
    <w:qFormat/>
    <w:rsid w:val="00FC693F"/>
    <w:rPr>
      <w:smallCaps/>
      <w:color w:val="C0504D"/>
      <w:u w:val="single"/>
      <w:rFonts w:ascii="EB Garamond" w:hAnsi="EB Garamond" w:eastAsia="EB Garamond" w:cs="EB Garamond"/>
    </w:rPr>
  </w:style>
  <w:style w:type="character" w:styleId="IntenseReference">
    <w:name w:val="Intense Reference"/>
    <w:basedOn w:val="DefaultParagraphFont"/>
    <w:uiPriority w:val="32"/>
    <w:qFormat/>
    <w:rsid w:val="00FC693F"/>
    <w:rPr>
      <w:b/>
      <w:bCs/>
      <w:smallCaps/>
      <w:color w:val="C0504D"/>
      <w:spacing w:val="5"/>
      <w:u w:val="single"/>
      <w:rFonts w:ascii="EB Garamond" w:hAnsi="EB Garamond" w:eastAsia="EB Garamond" w:cs="EB Garamond"/>
    </w:rPr>
  </w:style>
  <w:style w:type="character" w:styleId="BookTitle">
    <w:name w:val="Book Title"/>
    <w:basedOn w:val="DefaultParagraphFont"/>
    <w:uiPriority w:val="33"/>
    <w:qFormat/>
    <w:rsid w:val="00FC693F"/>
    <w:rPr>
      <w:b/>
      <w:bCs/>
      <w:smallCaps/>
      <w:spacing w:val="5"/>
      <w:rFonts w:ascii="EB Garamond" w:hAnsi="EB Garamond" w:eastAsia="EB Garamond" w:cs="EB Garamond"/>
    </w:rPr>
  </w:style>
  <w:style w:type="paragraph" w:styleId="TOCHeading">
    <w:name w:val="TOC Heading"/>
    <w:basedOn w:val="Heading1"/>
    <w:next w:val="Normal"/>
    <w:uiPriority w:val="39"/>
    <w:semiHidden/>
    <w:unhideWhenUsed/>
    <w:qFormat/>
    <w:rsid w:val="00FC693F"/>
    <w:pPr>
      <w:outlineLvl w:val="9"/>
    </w:pPr>
    <w:rPr>
      <w:rFonts w:ascii="EB Garamond" w:hAnsi="EB Garamond" w:eastAsia="EB Garamond" w:cs="EB Garamond"/>
    </w:r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rPr>
      <w:rFonts w:ascii="EB Garamond" w:hAnsi="EB Garamond" w:eastAsia="EB Garamond" w:cs="EB Garamond"/>
    </w:rPr>
  </w:style>
  <w:style w:type="table" w:styleId="LightShading">
    <w:name w:val="Light Shading"/>
    <w:basedOn w:val="TableNormal"/>
    <w:uiPriority w:val="60"/>
    <w:rsid w:val="00FC693F"/>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rPr>
      <w:rFonts w:ascii="EB Garamond" w:hAnsi="EB Garamond" w:eastAsia="EB Garamond" w:cs="EB Garamond"/>
    </w:r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rPr>
      <w:rFonts w:ascii="EB Garamond" w:hAnsi="EB Garamond" w:eastAsia="EB Garamond" w:cs="EB Garamond"/>
    </w:r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rPr>
      <w:rFonts w:ascii="EB Garamond" w:hAnsi="EB Garamond" w:eastAsia="EB Garamond" w:cs="EB Garamond"/>
    </w:r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rPr>
      <w:rFonts w:ascii="EB Garamond" w:hAnsi="EB Garamond" w:eastAsia="EB Garamond" w:cs="EB Garamond"/>
    </w:r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rPr>
      <w:rFonts w:ascii="EB Garamond" w:hAnsi="EB Garamond" w:eastAsia="EB Garamond" w:cs="EB Garamond"/>
    </w:r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rPr>
      <w:rFonts w:ascii="EB Garamond" w:hAnsi="EB Garamond" w:eastAsia="EB Garamond" w:cs="EB Garamond"/>
    </w:r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rPr>
      <w:rFonts w:ascii="EB Garamond" w:hAnsi="EB Garamond" w:eastAsia="EB Garamond" w:cs="EB Garamond"/>
    </w:r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rPr>
      <w:rFonts w:ascii="EB Garamond" w:hAnsi="EB Garamond" w:eastAsia="EB Garamond" w:cs="EB Garamond"/>
    </w:r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rPr>
      <w:rFonts w:ascii="EB Garamond" w:hAnsi="EB Garamond" w:eastAsia="EB Garamond" w:cs="EB Garamond"/>
    </w:r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rPr>
      <w:rFonts w:ascii="EB Garamond" w:hAnsi="EB Garamond" w:eastAsia="EB Garamond" w:cs="EB Garamond"/>
    </w:r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rPr>
      <w:rFonts w:ascii="EB Garamond" w:hAnsi="EB Garamond" w:eastAsia="EB Garamond" w:cs="EB Garamond"/>
    </w:r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rPr>
      <w:rFonts w:ascii="EB Garamond" w:hAnsi="EB Garamond" w:eastAsia="EB Garamond" w:cs="EB Garamond"/>
    </w:r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rPr>
      <w:rFonts w:ascii="EB Garamond" w:hAnsi="EB Garamond" w:eastAsia="EB Garamond" w:cs="EB Garamond"/>
    </w:r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rPr>
      <w:rFonts w:ascii="EB Garamond" w:hAnsi="EB Garamond" w:eastAsia="EB Garamond" w:cs="EB Garamond"/>
    </w:r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rPr>
      <w:rFonts w:ascii="EB Garamond" w:hAnsi="EB Garamond" w:eastAsia="EB Garamond" w:cs="EB Garamond"/>
    </w:r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rPr>
      <w:rFonts w:ascii="EB Garamond" w:hAnsi="EB Garamond" w:eastAsia="EB Garamond" w:cs="EB Garamond"/>
    </w:rPr>
  </w:style>
  <w:style w:type="table" w:styleId="MediumList1">
    <w:name w:val="Medium Lis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rPr>
      <w:rFonts w:ascii="EB Garamond" w:hAnsi="EB Garamond" w:eastAsia="EB Garamond" w:cs="EB Garamond"/>
    </w:r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rPr>
      <w:rFonts w:ascii="EB Garamond" w:hAnsi="EB Garamond" w:eastAsia="EB Garamond" w:cs="EB Garamond"/>
    </w:r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rPr>
      <w:rFonts w:ascii="EB Garamond" w:hAnsi="EB Garamond" w:eastAsia="EB Garamond" w:cs="EB Garamond"/>
    </w:r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rPr>
      <w:rFonts w:ascii="EB Garamond" w:hAnsi="EB Garamond" w:eastAsia="EB Garamond" w:cs="EB Garamond"/>
    </w:r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rPr>
      <w:rFonts w:ascii="EB Garamond" w:hAnsi="EB Garamond" w:eastAsia="EB Garamond" w:cs="EB Garamond"/>
    </w:r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rPr>
      <w:rFonts w:ascii="EB Garamond" w:hAnsi="EB Garamond" w:eastAsia="EB Garamond" w:cs="EB Garamond"/>
    </w:r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rPr>
      <w:rFonts w:ascii="EB Garamond" w:hAnsi="EB Garamond" w:eastAsia="EB Garamond" w:cs="EB Garamond"/>
    </w:r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rPr>
      <w:rFonts w:ascii="EB Garamond" w:hAnsi="EB Garamond" w:eastAsia="EB Garamond" w:cs="EB Garamond"/>
    </w:r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rPr>
      <w:rFonts w:ascii="EB Garamond" w:hAnsi="EB Garamond" w:eastAsia="EB Garamond" w:cs="EB Garamond"/>
    </w:r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rPr>
      <w:rFonts w:ascii="EB Garamond" w:hAnsi="EB Garamond" w:eastAsia="EB Garamond" w:cs="EB Garamond"/>
    </w:r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rPr>
      <w:rFonts w:ascii="EB Garamond" w:hAnsi="EB Garamond" w:eastAsia="EB Garamond" w:cs="EB Garamond"/>
    </w:r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rPr>
      <w:rFonts w:ascii="EB Garamond" w:hAnsi="EB Garamond" w:eastAsia="EB Garamond" w:cs="EB Garamond"/>
    </w:r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rPr>
      <w:rFonts w:ascii="EB Garamond" w:hAnsi="EB Garamond" w:eastAsia="EB Garamond" w:cs="EB Garamond"/>
    </w:r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rPr>
      <w:rFonts w:ascii="EB Garamond" w:hAnsi="EB Garamond" w:eastAsia="EB Garamond" w:cs="EB Garamond"/>
    </w:rPr>
  </w:style>
  <w:style w:type="table" w:styleId="DarkList">
    <w:name w:val="Dark List"/>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Fonts w:ascii="EB Garamond" w:hAnsi="EB Garamond" w:eastAsia="EB Garamond" w:cs="EB Garamond"/>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Fonts w:ascii="EB Garamond" w:hAnsi="EB Garamond" w:eastAsia="EB Garamond" w:cs="EB Garamond"/>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Fonts w:ascii="EB Garamond" w:hAnsi="EB Garamond" w:eastAsia="EB Garamond" w:cs="EB Garamond"/>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EB Garamond" w:hAnsi="EB Garamond" w:eastAsia="EB Garamond" w:cs="EB Garamond"/>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EB Garamond" w:hAnsi="EB Garamond" w:eastAsia="EB Garamond" w:cs="EB Garamond"/>
      <w:b/>
      <w:bCs/>
      <w:color w:val="365F91"/>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EB Garamond" w:hAnsi="EB Garamond" w:eastAsia="EB Garamond" w:cs="EB Garamond"/>
      <w:b/>
      <w:bCs/>
      <w:color w:val="4F81B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EB Garamond" w:hAnsi="EB Garamond" w:eastAsia="EB Garamond" w:cs="EB Garamond"/>
      <w:b/>
      <w:bCs/>
      <w:color w:val="4F81BD"/>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EB Garamond" w:hAnsi="EB Garamond" w:eastAsia="EB Garamond" w:cs="EB Garamond"/>
      <w:b/>
      <w:bCs/>
      <w:i/>
      <w:iCs/>
      <w:color w:val="4F81BD"/>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EB Garamond" w:hAnsi="EB Garamond" w:eastAsia="EB Garamond" w:cs="EB Garamond"/>
      <w:color w:val="243F60"/>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EB Garamond" w:hAnsi="EB Garamond" w:eastAsia="EB Garamond" w:cs="EB Garamond"/>
      <w:i/>
      <w:iCs/>
      <w:color w:val="243F60"/>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EB Garamond" w:hAnsi="EB Garamond" w:eastAsia="EB Garamond" w:cs="EB Garamond"/>
      <w:i/>
      <w:iCs/>
      <w:color w:val="404040"/>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EB Garamond" w:hAnsi="EB Garamond" w:eastAsia="EB Garamond" w:cs="EB Garamond"/>
      <w:color w:val="4F81BD"/>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EB Garamond" w:hAnsi="EB Garamond" w:eastAsia="EB Garamond" w:cs="EB Garamond"/>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EB Garamond" w:hAnsi="EB Garamond" w:eastAsia="EB Garamond" w:cs="EB Garamond"/>
      <w:b/>
      <w:bCs/>
      <w:color w:val="365F91"/>
      <w:sz w:val="28"/>
      <w:szCs w:val="28"/>
    </w:rPr>
  </w:style>
  <w:style w:type="character" w:customStyle="1" w:styleId="Heading2Char">
    <w:name w:val="Heading 2 Char"/>
    <w:basedOn w:val="DefaultParagraphFont"/>
    <w:link w:val="Heading2"/>
    <w:uiPriority w:val="9"/>
    <w:rsid w:val="00FC693F"/>
    <w:rPr>
      <w:rFonts w:ascii="EB Garamond" w:hAnsi="EB Garamond" w:eastAsia="EB Garamond" w:cs="EB Garamond"/>
      <w:b/>
      <w:bCs/>
      <w:color w:val="4F81BD"/>
      <w:sz w:val="26"/>
      <w:szCs w:val="26"/>
    </w:rPr>
  </w:style>
  <w:style w:type="character" w:customStyle="1" w:styleId="Heading3Char">
    <w:name w:val="Heading 3 Char"/>
    <w:basedOn w:val="DefaultParagraphFont"/>
    <w:link w:val="Heading3"/>
    <w:uiPriority w:val="9"/>
    <w:rsid w:val="00FC693F"/>
    <w:rPr>
      <w:rFonts w:ascii="EB Garamond" w:hAnsi="EB Garamond" w:eastAsia="EB Garamond" w:cs="EB Garamond"/>
      <w:b/>
      <w:bCs/>
      <w:color w:val="4F81BD"/>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EB Garamond" w:hAnsi="EB Garamond" w:eastAsia="EB Garamond" w:cs="EB Garamond"/>
      <w:color w:val="17365D"/>
      <w:spacing w:val="5"/>
      <w:kern w:val="28"/>
      <w:sz w:val="52"/>
      <w:szCs w:val="52"/>
    </w:rPr>
  </w:style>
  <w:style w:type="character" w:customStyle="1" w:styleId="TitleChar">
    <w:name w:val="Title Char"/>
    <w:basedOn w:val="DefaultParagraphFont"/>
    <w:link w:val="Title"/>
    <w:uiPriority w:val="10"/>
    <w:rsid w:val="00FC693F"/>
    <w:rPr>
      <w:rFonts w:ascii="EB Garamond" w:hAnsi="EB Garamond" w:eastAsia="EB Garamond" w:cs="EB Garamond"/>
      <w:color w:val="17365D"/>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EB Garamond" w:hAnsi="EB Garamond" w:eastAsia="EB Garamond" w:cs="EB Garamond"/>
      <w:i/>
      <w:iCs/>
      <w:color w:val="4F81BD"/>
      <w:spacing w:val="15"/>
      <w:sz w:val="24"/>
      <w:szCs w:val="24"/>
    </w:rPr>
  </w:style>
  <w:style w:type="character" w:customStyle="1" w:styleId="SubtitleChar">
    <w:name w:val="Subtitle Char"/>
    <w:basedOn w:val="DefaultParagraphFont"/>
    <w:link w:val="Subtitle"/>
    <w:uiPriority w:val="11"/>
    <w:rsid w:val="00FC693F"/>
    <w:rPr>
      <w:rFonts w:ascii="EB Garamond" w:hAnsi="EB Garamond" w:eastAsia="EB Garamond" w:cs="EB Garamond"/>
      <w:i/>
      <w:iCs/>
      <w:color w:val="4F81BD"/>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EB Garamond" w:hAnsi="EB Garamond" w:eastAsia="EB Garamond" w:cs="EB Garamond"/>
      <w:sz w:val="20"/>
      <w:szCs w:val="20"/>
    </w:rPr>
  </w:style>
  <w:style w:type="character" w:customStyle="1" w:styleId="MacroTextChar">
    <w:name w:val="Macro Text Char"/>
    <w:basedOn w:val="DefaultParagraphFont"/>
    <w:link w:val="MacroText"/>
    <w:uiPriority w:val="99"/>
    <w:rsid w:val="0029639D"/>
    <w:rPr>
      <w:rFonts w:ascii="EB Garamond" w:hAnsi="EB Garamond" w:eastAsia="EB Garamond" w:cs="EB Garamond"/>
      <w:sz w:val="20"/>
      <w:szCs w:val="20"/>
    </w:rPr>
  </w:style>
  <w:style w:type="paragraph" w:styleId="Quote">
    <w:name w:val="Quote"/>
    <w:basedOn w:val="Normal"/>
    <w:next w:val="Normal"/>
    <w:link w:val="QuoteChar"/>
    <w:uiPriority w:val="29"/>
    <w:qFormat/>
    <w:rsid w:val="00FC693F"/>
    <w:rPr>
      <w:i/>
      <w:iCs/>
      <w:color w:val="000000"/>
    </w:rPr>
  </w:style>
  <w:style w:type="character" w:customStyle="1" w:styleId="QuoteChar">
    <w:name w:val="Quote Char"/>
    <w:basedOn w:val="DefaultParagraphFont"/>
    <w:link w:val="Quote"/>
    <w:uiPriority w:val="29"/>
    <w:rsid w:val="00FC693F"/>
    <w:rPr>
      <w:i/>
      <w:iCs/>
      <w:color w:val="000000"/>
    </w:rPr>
  </w:style>
  <w:style w:type="character" w:customStyle="1" w:styleId="Heading4Char">
    <w:name w:val="Heading 4 Char"/>
    <w:basedOn w:val="DefaultParagraphFont"/>
    <w:link w:val="Heading4"/>
    <w:uiPriority w:val="9"/>
    <w:semiHidden/>
    <w:rsid w:val="00FC693F"/>
    <w:rPr>
      <w:rFonts w:ascii="EB Garamond" w:hAnsi="EB Garamond" w:eastAsia="EB Garamond" w:cs="EB Garamond"/>
      <w:b/>
      <w:bCs/>
      <w:i/>
      <w:iCs/>
      <w:color w:val="4F81BD"/>
    </w:rPr>
  </w:style>
  <w:style w:type="character" w:customStyle="1" w:styleId="Heading5Char">
    <w:name w:val="Heading 5 Char"/>
    <w:basedOn w:val="DefaultParagraphFont"/>
    <w:link w:val="Heading5"/>
    <w:uiPriority w:val="9"/>
    <w:semiHidden/>
    <w:rsid w:val="00FC693F"/>
    <w:rPr>
      <w:rFonts w:ascii="EB Garamond" w:hAnsi="EB Garamond" w:eastAsia="EB Garamond" w:cs="EB Garamond"/>
      <w:color w:val="243F60"/>
    </w:rPr>
  </w:style>
  <w:style w:type="character" w:customStyle="1" w:styleId="Heading6Char">
    <w:name w:val="Heading 6 Char"/>
    <w:basedOn w:val="DefaultParagraphFont"/>
    <w:link w:val="Heading6"/>
    <w:uiPriority w:val="9"/>
    <w:semiHidden/>
    <w:rsid w:val="00FC693F"/>
    <w:rPr>
      <w:rFonts w:ascii="EB Garamond" w:hAnsi="EB Garamond" w:eastAsia="EB Garamond" w:cs="EB Garamond"/>
      <w:i/>
      <w:iCs/>
      <w:color w:val="243F60"/>
    </w:rPr>
  </w:style>
  <w:style w:type="character" w:customStyle="1" w:styleId="Heading7Char">
    <w:name w:val="Heading 7 Char"/>
    <w:basedOn w:val="DefaultParagraphFont"/>
    <w:link w:val="Heading7"/>
    <w:uiPriority w:val="9"/>
    <w:semiHidden/>
    <w:rsid w:val="00FC693F"/>
    <w:rPr>
      <w:rFonts w:ascii="EB Garamond" w:hAnsi="EB Garamond" w:eastAsia="EB Garamond" w:cs="EB Garamond"/>
      <w:i/>
      <w:iCs/>
      <w:color w:val="404040"/>
    </w:rPr>
  </w:style>
  <w:style w:type="character" w:customStyle="1" w:styleId="Heading8Char">
    <w:name w:val="Heading 8 Char"/>
    <w:basedOn w:val="DefaultParagraphFont"/>
    <w:link w:val="Heading8"/>
    <w:uiPriority w:val="9"/>
    <w:semiHidden/>
    <w:rsid w:val="00FC693F"/>
    <w:rPr>
      <w:rFonts w:ascii="EB Garamond" w:hAnsi="EB Garamond" w:eastAsia="EB Garamond" w:cs="EB Garamond"/>
      <w:color w:val="4F81BD"/>
      <w:sz w:val="20"/>
      <w:szCs w:val="20"/>
    </w:rPr>
  </w:style>
  <w:style w:type="character" w:customStyle="1" w:styleId="Heading9Char">
    <w:name w:val="Heading 9 Char"/>
    <w:basedOn w:val="DefaultParagraphFont"/>
    <w:link w:val="Heading9"/>
    <w:uiPriority w:val="9"/>
    <w:semiHidden/>
    <w:rsid w:val="00FC693F"/>
    <w:rPr>
      <w:rFonts w:ascii="EB Garamond" w:hAnsi="EB Garamond" w:eastAsia="EB Garamond" w:cs="EB Garamond"/>
      <w:i/>
      <w:iCs/>
      <w:color w:val="404040"/>
      <w:sz w:val="20"/>
      <w:szCs w:val="20"/>
    </w:rPr>
  </w:style>
  <w:style w:type="paragraph" w:styleId="Caption">
    <w:name w:val="caption"/>
    <w:basedOn w:val="Normal"/>
    <w:next w:val="Normal"/>
    <w:uiPriority w:val="35"/>
    <w:semiHidden/>
    <w:unhideWhenUsed/>
    <w:qFormat/>
    <w:rsid w:val="00FC693F"/>
    <w:pPr>
      <w:spacing w:line="240" w:lineRule="auto"/>
    </w:pPr>
    <w:rPr>
      <w:b/>
      <w:bCs/>
      <w:color w:val="4F81BD"/>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rPr>
  </w:style>
  <w:style w:type="character" w:customStyle="1" w:styleId="IntenseQuoteChar">
    <w:name w:val="Intense Quote Char"/>
    <w:basedOn w:val="DefaultParagraphFont"/>
    <w:link w:val="IntenseQuote"/>
    <w:uiPriority w:val="30"/>
    <w:rsid w:val="00FC693F"/>
    <w:rPr>
      <w:b/>
      <w:bCs/>
      <w:i/>
      <w:iCs/>
      <w:color w:val="4F81BD"/>
    </w:rPr>
  </w:style>
  <w:style w:type="character" w:styleId="SubtleEmphasis">
    <w:name w:val="Subtle Emphasis"/>
    <w:basedOn w:val="DefaultParagraphFont"/>
    <w:uiPriority w:val="19"/>
    <w:qFormat/>
    <w:rsid w:val="00FC693F"/>
    <w:rPr>
      <w:i/>
      <w:iCs/>
      <w:color w:val="808080"/>
    </w:rPr>
  </w:style>
  <w:style w:type="character" w:styleId="IntenseEmphasis">
    <w:name w:val="Intense Emphasis"/>
    <w:basedOn w:val="DefaultParagraphFont"/>
    <w:uiPriority w:val="21"/>
    <w:qFormat/>
    <w:rsid w:val="00FC693F"/>
    <w:rPr>
      <w:b/>
      <w:bCs/>
      <w:i/>
      <w:iCs/>
      <w:color w:val="4F81BD"/>
    </w:rPr>
  </w:style>
  <w:style w:type="character" w:styleId="SubtleReference">
    <w:name w:val="Subtle Reference"/>
    <w:basedOn w:val="DefaultParagraphFont"/>
    <w:uiPriority w:val="31"/>
    <w:qFormat/>
    <w:rsid w:val="00FC693F"/>
    <w:rPr>
      <w:smallCaps/>
      <w:color w:val="C0504D"/>
      <w:u w:val="single"/>
    </w:rPr>
  </w:style>
  <w:style w:type="character" w:styleId="IntenseReference">
    <w:name w:val="Intense Reference"/>
    <w:basedOn w:val="DefaultParagraphFont"/>
    <w:uiPriority w:val="32"/>
    <w:qFormat/>
    <w:rsid w:val="00FC693F"/>
    <w:rPr>
      <w:b/>
      <w:bCs/>
      <w:smallCaps/>
      <w:color w:val="C0504D"/>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EB Garamond" w:hAnsi="EB Garamond" w:eastAsia="EB Garamond" w:cs="EB Garamond"/>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EB Garamond" w:hAnsi="EB Garamond" w:eastAsia="EB Garamond" w:cs="EB Garamond"/>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EB Garamond" w:hAnsi="EB Garamond" w:eastAsia="EB Garamond" w:cs="EB Garamond"/>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EB Garamond" w:hAnsi="EB Garamond" w:eastAsia="EB Garamond" w:cs="EB Garamond"/>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EB Garamond" w:hAnsi="EB Garamond" w:eastAsia="EB Garamond" w:cs="EB Garamond"/>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EB Garamond" w:hAnsi="EB Garamond" w:eastAsia="EB Garamond" w:cs="EB Garamond"/>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EB Garamond" w:hAnsi="EB Garamond" w:eastAsia="EB Garamond" w:cs="EB Garamond"/>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EB Garamond" w:hAnsi="EB Garamond" w:eastAsia="EB Garamond" w:cs="EB Garamond"/>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EB Garamond" w:hAnsi="EB Garamond" w:eastAsia="EB Garamond" w:cs="EB Garamond"/>
        <w:b/>
        <w:bCs/>
      </w:rPr>
    </w:tblStylePr>
    <w:tblStylePr w:type="lastCol">
      <w:rPr>
        <w:rFonts w:ascii="EB Garamond" w:hAnsi="EB Garamond" w:eastAsia="EB Garamond" w:cs="EB Garamond"/>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000000" w:themeColor="text1"/>
        </w:tcBorders>
      </w:tcPr>
    </w:tblStylePr>
    <w:tblStylePr w:type="lastRow">
      <w:rPr>
        <w:b/>
        <w:bCs/>
        <w:color w:val="1F497D"/>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F81BD" w:themeColor="accent1"/>
        </w:tcBorders>
      </w:tcPr>
    </w:tblStylePr>
    <w:tblStylePr w:type="lastRow">
      <w:rPr>
        <w:b/>
        <w:bCs/>
        <w:color w:val="1F497D"/>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C0504D" w:themeColor="accent2"/>
        </w:tcBorders>
      </w:tcPr>
    </w:tblStylePr>
    <w:tblStylePr w:type="lastRow">
      <w:rPr>
        <w:b/>
        <w:bCs/>
        <w:color w:val="1F497D"/>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9BBB59" w:themeColor="accent3"/>
        </w:tcBorders>
      </w:tcPr>
    </w:tblStylePr>
    <w:tblStylePr w:type="lastRow">
      <w:rPr>
        <w:b/>
        <w:bCs/>
        <w:color w:val="1F497D"/>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8064A2" w:themeColor="accent4"/>
        </w:tcBorders>
      </w:tcPr>
    </w:tblStylePr>
    <w:tblStylePr w:type="lastRow">
      <w:rPr>
        <w:b/>
        <w:bCs/>
        <w:color w:val="1F497D"/>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4BACC6" w:themeColor="accent5"/>
        </w:tcBorders>
      </w:tcPr>
    </w:tblStylePr>
    <w:tblStylePr w:type="lastRow">
      <w:rPr>
        <w:b/>
        <w:bCs/>
        <w:color w:val="1F497D"/>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EB Garamond" w:hAnsi="EB Garamond" w:eastAsia="EB Garamond" w:cs="EB Garamond"/>
      </w:rPr>
      <w:tblPr/>
      <w:tcPr>
        <w:tcBorders>
          <w:top w:val="nil"/>
          <w:bottom w:val="single" w:sz="8" w:space="0" w:color="F79646" w:themeColor="accent6"/>
        </w:tcBorders>
      </w:tcPr>
    </w:tblStylePr>
    <w:tblStylePr w:type="lastRow">
      <w:rPr>
        <w:b/>
        <w:bCs/>
        <w:color w:val="1F497D"/>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rPr>
      <w:tblPr/>
      <w:tcPr>
        <w:shd w:val="clear" w:color="auto" w:fill="E6E6E6" w:themeFill="tex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rPr>
      <w:tblPr/>
      <w:tcPr>
        <w:shd w:val="clear" w:color="auto" w:fill="EDF2F8" w:themeFill="accent1"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rPr>
      <w:tblPr/>
      <w:tcPr>
        <w:shd w:val="clear" w:color="auto" w:fill="F8EDED" w:themeFill="accent2"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rPr>
      <w:tblPr/>
      <w:tcPr>
        <w:shd w:val="clear" w:color="auto" w:fill="F5F8EE" w:themeFill="accent3"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rPr>
      <w:tblPr/>
      <w:tcPr>
        <w:shd w:val="clear" w:color="auto" w:fill="F2EFF6" w:themeFill="accent4"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rPr>
      <w:tblPr/>
      <w:tcPr>
        <w:shd w:val="clear" w:color="auto" w:fill="EDF6F9" w:themeFill="accent5"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EB Garamond" w:hAnsi="EB Garamond" w:eastAsia="EB Garamond" w:cs="EB Garamond"/>
      <w:color w:val="000000"/>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rPr>
      <w:tblPr/>
      <w:tcPr>
        <w:shd w:val="clear" w:color="auto" w:fill="FEF4EC" w:themeFill="accent6" w:themeFillTint="19"/>
      </w:tcPr>
    </w:tblStylePr>
    <w:tblStylePr w:type="lastRow">
      <w:rPr>
        <w:b/>
        <w:bCs/>
        <w:color w:val="000000"/>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000000" w:themeFill="text1" w:themeFillShade="99"/>
      </w:tcPr>
    </w:tblStylePr>
    <w:tblStylePr w:type="firstCol">
      <w:rPr>
        <w:color w:val="FFFFFF"/>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C4C74" w:themeFill="accent1" w:themeFillShade="99"/>
      </w:tcPr>
    </w:tblStylePr>
    <w:tblStylePr w:type="firstCol">
      <w:rPr>
        <w:color w:val="FFFFFF"/>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CB0664"/>
    <w:pPr>
      <w:spacing w:after="0" w:line="240" w:lineRule="auto"/>
    </w:pPr>
    <w:rPr>
      <w:color w:val="000000"/>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772C2A" w:themeFill="accent2" w:themeFillShade="99"/>
      </w:tcPr>
    </w:tblStylePr>
    <w:tblStylePr w:type="firstCol">
      <w:rPr>
        <w:color w:val="FFFFFF"/>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CB0664"/>
    <w:pPr>
      <w:spacing w:after="0" w:line="240" w:lineRule="auto"/>
    </w:pPr>
    <w:rPr>
      <w:color w:val="000000"/>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5E7530" w:themeFill="accent3" w:themeFillShade="99"/>
      </w:tcPr>
    </w:tblStylePr>
    <w:tblStylePr w:type="firstCol">
      <w:rPr>
        <w:color w:val="FFFFFF"/>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4C3B62" w:themeFill="accent4" w:themeFillShade="99"/>
      </w:tcPr>
    </w:tblStylePr>
    <w:tblStylePr w:type="firstCol">
      <w:rPr>
        <w:color w:val="FFFFFF"/>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CB0664"/>
    <w:pPr>
      <w:spacing w:after="0" w:line="240" w:lineRule="auto"/>
    </w:pPr>
    <w:rPr>
      <w:color w:val="000000"/>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276A7C" w:themeFill="accent5" w:themeFillShade="99"/>
      </w:tcPr>
    </w:tblStylePr>
    <w:tblStylePr w:type="firstCol">
      <w:rPr>
        <w:color w:val="FFFFFF"/>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CB0664"/>
    <w:pPr>
      <w:spacing w:after="0" w:line="240" w:lineRule="auto"/>
    </w:pPr>
    <w:rPr>
      <w:color w:val="000000"/>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rPr>
      <w:tblPr/>
      <w:tcPr>
        <w:tcBorders>
          <w:top w:val="single" w:sz="6" w:space="0" w:color="FFFFFF" w:themeColor="background1"/>
        </w:tcBorders>
        <w:shd w:val="clear" w:color="auto" w:fill="B65608" w:themeFill="accent6" w:themeFillShade="99"/>
      </w:tcPr>
    </w:tblStylePr>
    <w:tblStylePr w:type="firstCol">
      <w:rPr>
        <w:color w:val="FFFFFF"/>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rPr>
    </w:tblStylePr>
    <w:tblStylePr w:type="nwCell">
      <w:rPr>
        <w:color w:val="000000"/>
      </w:rPr>
    </w:tblStylePr>
  </w:style>
  <w:style w:type="table" w:styleId="ColorfulList">
    <w:name w:val="Colorful List"/>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rPr>
      <w:tblPr/>
      <w:tcPr>
        <w:tcBorders>
          <w:bottom w:val="single" w:sz="12" w:space="0" w:color="FFFFFF" w:themeColor="background1"/>
        </w:tcBorders>
        <w:shd w:val="clear" w:color="auto" w:fill="9E3A38" w:themeFill="accent2" w:themeFillShade="CC"/>
      </w:tcPr>
    </w:tblStylePr>
    <w:tblStylePr w:type="lastRow">
      <w:rPr>
        <w:b/>
        <w:bCs/>
        <w:color w:val="9E3A38"/>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rPr>
      <w:tblPr/>
      <w:tcPr>
        <w:tcBorders>
          <w:bottom w:val="single" w:sz="12" w:space="0" w:color="FFFFFF" w:themeColor="background1"/>
        </w:tcBorders>
        <w:shd w:val="clear" w:color="auto" w:fill="664E82" w:themeFill="accent4" w:themeFillShade="CC"/>
      </w:tcPr>
    </w:tblStylePr>
    <w:tblStylePr w:type="lastRow">
      <w:rPr>
        <w:b/>
        <w:bCs/>
        <w:color w:val="664E82"/>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rPr>
      <w:tblPr/>
      <w:tcPr>
        <w:tcBorders>
          <w:bottom w:val="single" w:sz="12" w:space="0" w:color="FFFFFF" w:themeColor="background1"/>
        </w:tcBorders>
        <w:shd w:val="clear" w:color="auto" w:fill="7E9C40" w:themeFill="accent3" w:themeFillShade="CC"/>
      </w:tcPr>
    </w:tblStylePr>
    <w:tblStylePr w:type="lastRow">
      <w:rPr>
        <w:b/>
        <w:bCs/>
        <w:color w:val="7E9C40"/>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rPr>
      <w:tblPr/>
      <w:tcPr>
        <w:tcBorders>
          <w:bottom w:val="single" w:sz="12" w:space="0" w:color="FFFFFF" w:themeColor="background1"/>
        </w:tcBorders>
        <w:shd w:val="clear" w:color="auto" w:fill="F2730A" w:themeFill="accent6" w:themeFillShade="CC"/>
      </w:tcPr>
    </w:tblStylePr>
    <w:tblStylePr w:type="lastRow">
      <w:rPr>
        <w:b/>
        <w:bCs/>
        <w:color w:val="F2730A"/>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rPr>
      <w:tblPr/>
      <w:tcPr>
        <w:tcBorders>
          <w:bottom w:val="single" w:sz="12" w:space="0" w:color="FFFFFF" w:themeColor="background1"/>
        </w:tcBorders>
        <w:shd w:val="clear" w:color="auto" w:fill="348DA5" w:themeFill="accent5" w:themeFillShade="CC"/>
      </w:tcPr>
    </w:tblStylePr>
    <w:tblStylePr w:type="lastRow">
      <w:rPr>
        <w:b/>
        <w:bCs/>
        <w:color w:val="348DA5"/>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rPr>
      <w:tblPr/>
      <w:tcPr>
        <w:shd w:val="clear" w:color="auto" w:fill="999999" w:themeFill="text1" w:themeFillTint="66"/>
      </w:tcPr>
    </w:tblStylePr>
    <w:tblStylePr w:type="firstCol">
      <w:rPr>
        <w:color w:val="FFFFFF"/>
      </w:rPr>
      <w:tblPr/>
      <w:tcPr>
        <w:shd w:val="clear" w:color="auto" w:fill="000000" w:themeFill="text1" w:themeFillShade="BF"/>
      </w:tcPr>
    </w:tblStylePr>
    <w:tblStylePr w:type="lastCol">
      <w:rPr>
        <w:color w:val="FFFFFF"/>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rPr>
      <w:tblPr/>
      <w:tcPr>
        <w:shd w:val="clear" w:color="auto" w:fill="B8CCE4" w:themeFill="accent1" w:themeFillTint="66"/>
      </w:tcPr>
    </w:tblStylePr>
    <w:tblStylePr w:type="firstCol">
      <w:rPr>
        <w:color w:val="FFFFFF"/>
      </w:rPr>
      <w:tblPr/>
      <w:tcPr>
        <w:shd w:val="clear" w:color="auto" w:fill="365F91" w:themeFill="accent1" w:themeFillShade="BF"/>
      </w:tcPr>
    </w:tblStylePr>
    <w:tblStylePr w:type="lastCol">
      <w:rPr>
        <w:color w:val="FFFFFF"/>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rPr>
      <w:tblPr/>
      <w:tcPr>
        <w:shd w:val="clear" w:color="auto" w:fill="E5B8B7" w:themeFill="accent2" w:themeFillTint="66"/>
      </w:tcPr>
    </w:tblStylePr>
    <w:tblStylePr w:type="firstCol">
      <w:rPr>
        <w:color w:val="FFFFFF"/>
      </w:rPr>
      <w:tblPr/>
      <w:tcPr>
        <w:shd w:val="clear" w:color="auto" w:fill="943634" w:themeFill="accent2" w:themeFillShade="BF"/>
      </w:tcPr>
    </w:tblStylePr>
    <w:tblStylePr w:type="lastCol">
      <w:rPr>
        <w:color w:val="FFFFFF"/>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rPr>
      <w:tblPr/>
      <w:tcPr>
        <w:shd w:val="clear" w:color="auto" w:fill="D6E3BC" w:themeFill="accent3" w:themeFillTint="66"/>
      </w:tcPr>
    </w:tblStylePr>
    <w:tblStylePr w:type="firstCol">
      <w:rPr>
        <w:color w:val="FFFFFF"/>
      </w:rPr>
      <w:tblPr/>
      <w:tcPr>
        <w:shd w:val="clear" w:color="auto" w:fill="76923C" w:themeFill="accent3" w:themeFillShade="BF"/>
      </w:tcPr>
    </w:tblStylePr>
    <w:tblStylePr w:type="lastCol">
      <w:rPr>
        <w:color w:val="FFFFFF"/>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rPr>
      <w:tblPr/>
      <w:tcPr>
        <w:shd w:val="clear" w:color="auto" w:fill="CCC0D9" w:themeFill="accent4" w:themeFillTint="66"/>
      </w:tcPr>
    </w:tblStylePr>
    <w:tblStylePr w:type="firstCol">
      <w:rPr>
        <w:color w:val="FFFFFF"/>
      </w:rPr>
      <w:tblPr/>
      <w:tcPr>
        <w:shd w:val="clear" w:color="auto" w:fill="5F497A" w:themeFill="accent4" w:themeFillShade="BF"/>
      </w:tcPr>
    </w:tblStylePr>
    <w:tblStylePr w:type="lastCol">
      <w:rPr>
        <w:color w:val="FFFFFF"/>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rPr>
      <w:tblPr/>
      <w:tcPr>
        <w:shd w:val="clear" w:color="auto" w:fill="B6DDE8" w:themeFill="accent5" w:themeFillTint="66"/>
      </w:tcPr>
    </w:tblStylePr>
    <w:tblStylePr w:type="firstCol">
      <w:rPr>
        <w:color w:val="FFFFFF"/>
      </w:rPr>
      <w:tblPr/>
      <w:tcPr>
        <w:shd w:val="clear" w:color="auto" w:fill="31849B" w:themeFill="accent5" w:themeFillShade="BF"/>
      </w:tcPr>
    </w:tblStylePr>
    <w:tblStylePr w:type="lastCol">
      <w:rPr>
        <w:color w:val="FFFFFF"/>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rPr>
      <w:tblPr/>
      <w:tcPr>
        <w:shd w:val="clear" w:color="auto" w:fill="FBD4B4" w:themeFill="accent6" w:themeFillTint="66"/>
      </w:tcPr>
    </w:tblStylePr>
    <w:tblStylePr w:type="firstCol">
      <w:rPr>
        <w:color w:val="FFFFFF"/>
      </w:rPr>
      <w:tblPr/>
      <w:tcPr>
        <w:shd w:val="clear" w:color="auto" w:fill="E36C0A" w:themeFill="accent6" w:themeFillShade="BF"/>
      </w:tcPr>
    </w:tblStylePr>
    <w:tblStylePr w:type="lastCol">
      <w:rPr>
        <w:color w:val="FFFFFF"/>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image" Target="media/image1.png"/><Relationship Id="rId13" Type="http://schemas.openxmlformats.org/officeDocument/2006/relationships/hyperlink" Target="https://www.corneritaliano.com/en/2050/resources/" TargetMode="External"/><Relationship Id="rId14" Type="http://schemas.openxmlformats.org/officeDocument/2006/relationships/hyperlink" Target="https://doi.org/10.1093/mind/LIX.236.433" TargetMode="External"/><Relationship Id="rId15" Type="http://schemas.openxmlformats.org/officeDocument/2006/relationships/hyperlink" Target="https://jmc.stanford.edu/articles/dartmouth/dartmouth.pdf" TargetMode="External"/><Relationship Id="rId16" Type="http://schemas.openxmlformats.org/officeDocument/2006/relationships/hyperlink" Target="https://doi.org/10.1037/h0042519" TargetMode="External"/><Relationship Id="rId17" Type="http://schemas.openxmlformats.org/officeDocument/2006/relationships/hyperlink" Target="https://mitpress.mit.edu/9780262631112/perceptrons/" TargetMode="External"/><Relationship Id="rId18" Type="http://schemas.openxmlformats.org/officeDocument/2006/relationships/hyperlink" Target="https://doi.org/10.1038/323533a0" TargetMode="External"/><Relationship Id="rId19" Type="http://schemas.openxmlformats.org/officeDocument/2006/relationships/hyperlink" Target="https://www.ibm.com/history/deep-blue" TargetMode="External"/><Relationship Id="rId20" Type="http://schemas.openxmlformats.org/officeDocument/2006/relationships/hyperlink" Target="https://papers.nips.cc/paper/4824-imagenet-classification-with-deep-convolutional-neural-networks" TargetMode="External"/><Relationship Id="rId21" Type="http://schemas.openxmlformats.org/officeDocument/2006/relationships/hyperlink" Target="https://arxiv.org/abs/1706.03762" TargetMode="External"/><Relationship Id="rId22" Type="http://schemas.openxmlformats.org/officeDocument/2006/relationships/hyperlink" Target="https://doi.org/10.1145/365153.365168" TargetMode="External"/><Relationship Id="rId23" Type="http://schemas.openxmlformats.org/officeDocument/2006/relationships/hyperlink" Target="https://openai.com/index/chatgpt/" TargetMode="External"/><Relationship Id="rId24" Type="http://schemas.openxmlformats.org/officeDocument/2006/relationships/hyperlink" Target="https://www.darpa.mil/news/features/arpanet" TargetMode="External"/><Relationship Id="rId25" Type="http://schemas.openxmlformats.org/officeDocument/2006/relationships/hyperlink" Target="https://www.internetsociety.org/news/press-releases/2013/new-years-day-marks-30th-anniversary-of-major-milestone-for-global-internet/" TargetMode="External"/><Relationship Id="rId26" Type="http://schemas.openxmlformats.org/officeDocument/2006/relationships/hyperlink" Target="https://home.cern/science/computing/the-birth-of-the-web/short-history-web/" TargetMode="External"/><Relationship Id="rId27" Type="http://schemas.openxmlformats.org/officeDocument/2006/relationships/hyperlink" Target="https://home.cern/open-internet-and-web/" TargetMode="External"/><Relationship Id="rId28" Type="http://schemas.openxmlformats.org/officeDocument/2006/relationships/hyperlink" Target="https://www.w3.org/TR/vc-data-model-2.0/" TargetMode="External"/><Relationship Id="rId29" Type="http://schemas.openxmlformats.org/officeDocument/2006/relationships/hyperlink" Target="https://www.w3.org/TR/vc-data-integrity/" TargetMode="External"/><Relationship Id="rId30" Type="http://schemas.openxmlformats.org/officeDocument/2006/relationships/hyperlink" Target="https://www.w3.org/TR/vc-jose-cose/" TargetMode="External"/><Relationship Id="rId31" Type="http://schemas.openxmlformats.org/officeDocument/2006/relationships/hyperlink" Target="https://openid.net/specs/openid-4-verifiable-credential-issuance-1_0.html" TargetMode="External"/><Relationship Id="rId32" Type="http://schemas.openxmlformats.org/officeDocument/2006/relationships/hyperlink" Target="https://openid.net/specs/openid-4-verifiable-presentations-1_0.html" TargetMode="External"/><Relationship Id="rId33" Type="http://schemas.openxmlformats.org/officeDocument/2006/relationships/hyperlink" Target="https://doi.org/10.6028/NIST.SP.800-63-4" TargetMode="External"/><Relationship Id="rId34" Type="http://schemas.openxmlformats.org/officeDocument/2006/relationships/hyperlink" Target="https://doi.org/10.6028/NIST.IR.8202" TargetMode="External"/><Relationship Id="rId35" Type="http://schemas.openxmlformats.org/officeDocument/2006/relationships/hyperlink" Target="https://www.who.int/publications/i/item/9789240029200" TargetMode="External"/><Relationship Id="rId36" Type="http://schemas.openxmlformats.org/officeDocument/2006/relationships/hyperlink" Target="https://www.who.int/publications/i/item/9789240078871" TargetMode="External"/><Relationship Id="rId37" Type="http://schemas.openxmlformats.org/officeDocument/2006/relationships/hyperlink" Target="https://www.who.int/publications/i/item/9789240084759" TargetMode="External"/><Relationship Id="rId38" Type="http://schemas.openxmlformats.org/officeDocument/2006/relationships/hyperlink" Target="https://www.who.int/publications/b/70584" TargetMode="External"/><Relationship Id="rId39" Type="http://schemas.openxmlformats.org/officeDocument/2006/relationships/hyperlink" Target="https://www.who.int/europe/publications/i/item/WHO-EURO-2026-12707-52481-81471" TargetMode="External"/><Relationship Id="rId40" Type="http://schemas.openxmlformats.org/officeDocument/2006/relationships/hyperlink" Target="https://www.who.int/publications/i/item/B09667" TargetMode="External"/><Relationship Id="rId41" Type="http://schemas.openxmlformats.org/officeDocument/2006/relationships/hyperlink" Target="https://health.ec.europa.eu/document/download/b45335c5-1679-4c71-a91c-fc7a4d37f12b_en" TargetMode="External"/><Relationship Id="rId42" Type="http://schemas.openxmlformats.org/officeDocument/2006/relationships/hyperlink" Target="https://health.ec.europa.eu/document/download/b78a17d7-e3cd-4943-851d-e02a2f22bbb4_en" TargetMode="External"/><Relationship Id="rId43" Type="http://schemas.openxmlformats.org/officeDocument/2006/relationships/hyperlink" Target="https://www.who.int/news-room/fact-sheets/detail/adolescent-mental-health" TargetMode="External"/><Relationship Id="rId44" Type="http://schemas.openxmlformats.org/officeDocument/2006/relationships/hyperlink" Target="https://www.who.int/groups/commission-on-social-connection/report" TargetMode="External"/><Relationship Id="rId45" Type="http://schemas.openxmlformats.org/officeDocument/2006/relationships/hyperlink" Target="https://www.unicef.org/innocenti/reports/policy-guidance-ai-children" TargetMode="External"/><Relationship Id="rId46" Type="http://schemas.openxmlformats.org/officeDocument/2006/relationships/hyperlink" Target="https://www.unicef.org/documents/when-ai-becomes-friend-child-rights-risks" TargetMode="External"/><Relationship Id="rId47" Type="http://schemas.openxmlformats.org/officeDocument/2006/relationships/hyperlink" Target="https://www.ftc.gov/news-events/news/press-releases/2025/09/ftc-launches-inquiry-ai-chatbots-acting-companions" TargetMode="External"/><Relationship Id="rId48" Type="http://schemas.openxmlformats.org/officeDocument/2006/relationships/hyperlink" Target="https://www.unesco.org/en/articles/guidance-generative-ai-education-and-research" TargetMode="External"/><Relationship Id="rId49" Type="http://schemas.openxmlformats.org/officeDocument/2006/relationships/hyperlink" Target="https://doi.org/10.54394/HETP0387" TargetMode="External"/><Relationship Id="rId50" Type="http://schemas.openxmlformats.org/officeDocument/2006/relationships/hyperlink" Target="https://doi.org/10.1038/s41562-018-0335-2" TargetMode="External"/><Relationship Id="rId51" Type="http://schemas.openxmlformats.org/officeDocument/2006/relationships/hyperlink" Target="https://unctad.org/publication/technology-and-innovation-report-2025" TargetMode="External"/><Relationship Id="rId52" Type="http://schemas.openxmlformats.org/officeDocument/2006/relationships/hyperlink" Target="https://www.iea.org/reports/energy-and-ai" TargetMode="External"/><Relationship Id="rId53" Type="http://schemas.openxmlformats.org/officeDocument/2006/relationships/hyperlink" Target="https://eta.lbl.gov/publications/2024-lbnl-data-center-energy-usage-report" TargetMode="External"/><Relationship Id="rId54" Type="http://schemas.openxmlformats.org/officeDocument/2006/relationships/hyperlink" Target="https://www.usgs.gov/mission-areas/water-resources/science/water-use-terminology" TargetMode="External"/><Relationship Id="rId55" Type="http://schemas.openxmlformats.org/officeDocument/2006/relationships/hyperlink" Target="https://www.iso.org/standard/37456.html" TargetMode="External"/><Relationship Id="rId56" Type="http://schemas.openxmlformats.org/officeDocument/2006/relationships/hyperlink" Target="https://www.iso.org/standard/38498.html" TargetMode="External"/><Relationship Id="rId57" Type="http://schemas.openxmlformats.org/officeDocument/2006/relationships/hyperlink" Target="https://doi.org/10.3133/mcs2026" TargetMode="External"/><Relationship Id="rId58" Type="http://schemas.openxmlformats.org/officeDocument/2006/relationships/hyperlink" Target="https://www.iea.org/reports/global-critical-minerals-outlook-2025" TargetMode="External"/><Relationship Id="rId59" Type="http://schemas.openxmlformats.org/officeDocument/2006/relationships/hyperlink" Target="https://www.itu.int/hub/publication/d-gen-e_waste-01-2024/" TargetMode="External"/><Relationship Id="rId60" Type="http://schemas.openxmlformats.org/officeDocument/2006/relationships/hyperlink" Target="https://www.starcloud.com/starcloud-1" TargetMode="External"/><Relationship Id="rId61" Type="http://schemas.openxmlformats.org/officeDocument/2006/relationships/hyperlink" Target="https://www.axiomspace.com/orbital-data-center" TargetMode="External"/><Relationship Id="rId62" Type="http://schemas.openxmlformats.org/officeDocument/2006/relationships/hyperlink" Target="https://research.google/blog/exploring-a-space-based-scalable-ai-infrastructure-system-design/" TargetMode="External"/><Relationship Id="rId63" Type="http://schemas.openxmlformats.org/officeDocument/2006/relationships/hyperlink" Target="https://cordis.europa.eu/project/id/101082517" TargetMode="External"/><Relationship Id="rId64" Type="http://schemas.openxmlformats.org/officeDocument/2006/relationships/hyperlink" Target="https://cordis.europa.eu/project/id/101082517/reporting" TargetMode="External"/><Relationship Id="rId65" Type="http://schemas.openxmlformats.org/officeDocument/2006/relationships/hyperlink" Target="https://arxiv.org/abs/2604.27197" TargetMode="External"/><Relationship Id="rId66" Type="http://schemas.openxmlformats.org/officeDocument/2006/relationships/hyperlink" Target="https://doi.org/10.48550/arXiv.2604.27197" TargetMode="External"/><Relationship Id="rId67" Type="http://schemas.openxmlformats.org/officeDocument/2006/relationships/hyperlink" Target="https://www.mdpi.com/2076-3417/16/11/5247" TargetMode="External"/><Relationship Id="rId68" Type="http://schemas.openxmlformats.org/officeDocument/2006/relationships/hyperlink" Target="https://doi.org/10.3390/app16115247" TargetMode="External"/><Relationship Id="rId69" Type="http://schemas.openxmlformats.org/officeDocument/2006/relationships/hyperlink" Target="https://onlinelibrary.wiley.com/doi/10.1002/ieam.4722" TargetMode="External"/><Relationship Id="rId70" Type="http://schemas.openxmlformats.org/officeDocument/2006/relationships/hyperlink" Target="https://doi.org/10.1002/ieam.4722" TargetMode="External"/><Relationship Id="rId71" Type="http://schemas.openxmlformats.org/officeDocument/2006/relationships/hyperlink" Target="https://repository.library.noaa.gov/view/noaa/58476" TargetMode="External"/><Relationship Id="rId72" Type="http://schemas.openxmlformats.org/officeDocument/2006/relationships/hyperlink" Target="https://doi.org/10.1073/pnas.2313374120" TargetMode="External"/><Relationship Id="rId73" Type="http://schemas.openxmlformats.org/officeDocument/2006/relationships/hyperlink" Target="https://kpa.co.ke/Ports/PortOfMombasa" TargetMode="External"/><Relationship Id="rId74" Type="http://schemas.openxmlformats.org/officeDocument/2006/relationships/hyperlink" Target="https://www.ttcanc.org/node/70" TargetMode="External"/><Relationship Id="rId75" Type="http://schemas.openxmlformats.org/officeDocument/2006/relationships/hyperlink" Target="https://www.nist.gov/chips/vision-success-facilities-semiconductor-materials-and-manufacturing-equipment" TargetMode="External"/><Relationship Id="rId76" Type="http://schemas.openxmlformats.org/officeDocument/2006/relationships/hyperlink" Target="https://www.gao.gov/products/gao-22-105923" TargetMode="External"/><Relationship Id="rId77" Type="http://schemas.openxmlformats.org/officeDocument/2006/relationships/hyperlink" Target="https://digital-strategy.ec.europa.eu/en/policies/european-chips-act" TargetMode="External"/><Relationship Id="rId78" Type="http://schemas.openxmlformats.org/officeDocument/2006/relationships/hyperlink" Target="https://digital-strategy.ec.europa.eu/en/library/proposal-chips-act-20" TargetMode="External"/><Relationship Id="rId79" Type="http://schemas.openxmlformats.org/officeDocument/2006/relationships/hyperlink" Target="https://www.federalregister.gov/documents/2026/01/15/2026-00789/revision-to-license-review-policy-for-advanced-computing-commodities" TargetMode="External"/><Relationship Id="rId80" Type="http://schemas.openxmlformats.org/officeDocument/2006/relationships/hyperlink" Target="https://www.bis.gov/regulations/federal-register-notices" TargetMode="External"/><Relationship Id="rId81" Type="http://schemas.openxmlformats.org/officeDocument/2006/relationships/hyperlink" Target="https://www.bis.gov/regulations/ear/744" TargetMode="External"/><Relationship Id="rId82" Type="http://schemas.openxmlformats.org/officeDocument/2006/relationships/hyperlink" Target="https://www.bis.gov/regulations/ear/748" TargetMode="External"/><Relationship Id="rId83" Type="http://schemas.openxmlformats.org/officeDocument/2006/relationships/hyperlink" Target="https://www.itu.int/hub/publication/s-iab-wg-2026/" TargetMode="External"/><Relationship Id="rId84" Type="http://schemas.openxmlformats.org/officeDocument/2006/relationships/hyperlink" Target="https://www.gov.uk/cma-cases/cloud-services-market-investigation" TargetMode="External"/><Relationship Id="rId85" Type="http://schemas.openxmlformats.org/officeDocument/2006/relationships/hyperlink" Target="https://www.gov.uk/government/publications/business-software-and-cloud-services" TargetMode="External"/><Relationship Id="rId86" Type="http://schemas.openxmlformats.org/officeDocument/2006/relationships/hyperlink" Target="https://www.enisa.europa.eu/publications/enisa-threat-landscape-2025" TargetMode="External"/><Relationship Id="rId87" Type="http://schemas.openxmlformats.org/officeDocument/2006/relationships/hyperlink" Target="https://www.enisa.europa.eu/publications/enisas-view-on-cybersecurity-in-the-frontier-ai-era" TargetMode="External"/><Relationship Id="rId88" Type="http://schemas.openxmlformats.org/officeDocument/2006/relationships/hyperlink" Target="https://digitallibrary.un.org/record/3908015" TargetMode="External"/><Relationship Id="rId89" Type="http://schemas.openxmlformats.org/officeDocument/2006/relationships/hyperlink" Target="https://www.californialawreview.org/print/deep-fakes-a-looming-challenge-for-privacy-democracy-and-national-security" TargetMode="External"/><Relationship Id="rId90" Type="http://schemas.openxmlformats.org/officeDocument/2006/relationships/hyperlink" Target="https://eur-lex.europa.eu/eli/reg/2024/1689/oj/eng" TargetMode="External"/><Relationship Id="rId91" Type="http://schemas.openxmlformats.org/officeDocument/2006/relationships/hyperlink" Target="https://ai-act-service-desk.ec.europa.eu/en/ai-act/article-50" TargetMode="External"/><Relationship Id="rId92" Type="http://schemas.openxmlformats.org/officeDocument/2006/relationships/hyperlink" Target="https://ai-act-service-desk.ec.europa.eu/en/ai-act/article-53" TargetMode="External"/><Relationship Id="rId93" Type="http://schemas.openxmlformats.org/officeDocument/2006/relationships/hyperlink" Target="https://eur-lex.europa.eu/eli/reg/2016/679/oj/eng" TargetMode="External"/><Relationship Id="rId94" Type="http://schemas.openxmlformats.org/officeDocument/2006/relationships/hyperlink" Target="https://www.edpb.europa.eu/documents/guideline/automated-decision-making-and-profiling_en" TargetMode="External"/><Relationship Id="rId95" Type="http://schemas.openxmlformats.org/officeDocument/2006/relationships/hyperlink" Target="https://infocuria.curia.europa.eu/tabs/redirect/juris/document/document.jsf?docid=280426&amp;doclang=en" TargetMode="External"/><Relationship Id="rId96" Type="http://schemas.openxmlformats.org/officeDocument/2006/relationships/hyperlink" Target="https://eur-lex.europa.eu/eli/reg/2024/1183/oj/eng" TargetMode="External"/><Relationship Id="rId97" Type="http://schemas.openxmlformats.org/officeDocument/2006/relationships/hyperlink" Target="https://digital-strategy.ec.europa.eu/en/policies/eudi-wallet-implementation" TargetMode="External"/><Relationship Id="rId98" Type="http://schemas.openxmlformats.org/officeDocument/2006/relationships/hyperlink" Target="https://github.com/eu-digital-identity-wallet/eudi-doc-architecture-and-reference-framework/releases/tag/v2.9.0" TargetMode="External"/><Relationship Id="rId99" Type="http://schemas.openxmlformats.org/officeDocument/2006/relationships/hyperlink" Target="https://eur-lex.europa.eu/eli/reg/2022/2065/oj/eng" TargetMode="External"/><Relationship Id="rId100" Type="http://schemas.openxmlformats.org/officeDocument/2006/relationships/hyperlink" Target="https://ai-act-service-desk.ec.europa.eu/en/ai-act/article-5" TargetMode="External"/><Relationship Id="rId101" Type="http://schemas.openxmlformats.org/officeDocument/2006/relationships/hyperlink" Target="https://eur-lex.europa.eu/eli/dir/2024/2831/oj/eng" TargetMode="External"/><Relationship Id="rId102" Type="http://schemas.openxmlformats.org/officeDocument/2006/relationships/hyperlink" Target="https://eur-lex.europa.eu/eli/dir/2019/790/oj/eng" TargetMode="External"/><Relationship Id="rId103" Type="http://schemas.openxmlformats.org/officeDocument/2006/relationships/hyperlink" Target="https://eur-lex.europa.eu/eli/reg/2017/745/oj/eng" TargetMode="External"/><Relationship Id="rId104" Type="http://schemas.openxmlformats.org/officeDocument/2006/relationships/hyperlink" Target="https://eur-lex.europa.eu/eli/reg/2017/746/oj/eng" TargetMode="External"/><Relationship Id="rId105" Type="http://schemas.openxmlformats.org/officeDocument/2006/relationships/hyperlink" Target="https://www.edpb.europa.eu/system/files/2023-05/edpb_guidelines_202304_frtlawenforcement_v2_en.pdf" TargetMode="External"/><Relationship Id="rId106" Type="http://schemas.openxmlformats.org/officeDocument/2006/relationships/hyperlink" Target="https://www.garanteprivacy.it/temi/internet-e-nuove-tecnologie/eredita-digitale" TargetMode="External"/><Relationship Id="rId107" Type="http://schemas.openxmlformats.org/officeDocument/2006/relationships/hyperlink" Target="https://digital-strategy.ec.europa.eu/en/news/commission-publishes-code-practice-marking-and-labelling-ai-generated-content" TargetMode="External"/><Relationship Id="rId108" Type="http://schemas.openxmlformats.org/officeDocument/2006/relationships/hyperlink" Target="https://digital-strategy.ec.europa.eu/en/library/commission-opinion-assessment-code-practice-transparency-ai-generated-content" TargetMode="External"/><Relationship Id="rId109" Type="http://schemas.openxmlformats.org/officeDocument/2006/relationships/hyperlink" Target="https://digital-strategy.ec.europa.eu/en/news/general-purpose-ai-code-practice-now-available" TargetMode="External"/><Relationship Id="rId110" Type="http://schemas.openxmlformats.org/officeDocument/2006/relationships/hyperlink" Target="https://doi.org/10.1093/mind/LIX.236.433" TargetMode="External"/><Relationship Id="rId111" Type="http://schemas.openxmlformats.org/officeDocument/2006/relationships/hyperlink" Target="https://doi.org/10.1609/aimag.v27i4.1904" TargetMode="External"/><Relationship Id="rId112" Type="http://schemas.openxmlformats.org/officeDocument/2006/relationships/hyperlink" Target="https://jmc.stanford.edu/articles/dartmouth/dartmouth.pdf" TargetMode="External"/><Relationship Id="rId113" Type="http://schemas.openxmlformats.org/officeDocument/2006/relationships/hyperlink" Target="https://doi.org/10.1037/h0042519" TargetMode="External"/><Relationship Id="rId114" Type="http://schemas.openxmlformats.org/officeDocument/2006/relationships/hyperlink" Target="https://mitpress.mit.edu/9780262631112/perceptrons/" TargetMode="External"/><Relationship Id="rId115" Type="http://schemas.openxmlformats.org/officeDocument/2006/relationships/hyperlink" Target="https://doi.org/10.1038/323533a0" TargetMode="External"/><Relationship Id="rId116" Type="http://schemas.openxmlformats.org/officeDocument/2006/relationships/hyperlink" Target="https://www.ibm.com/history/deep-blue" TargetMode="External"/><Relationship Id="rId117" Type="http://schemas.openxmlformats.org/officeDocument/2006/relationships/hyperlink" Target="https://papers.nips.cc/paper/4824-imagenet-classification-with-deep-convolutional-neural-networks" TargetMode="External"/><Relationship Id="rId118" Type="http://schemas.openxmlformats.org/officeDocument/2006/relationships/hyperlink" Target="https://arxiv.org/abs/1706.03762" TargetMode="External"/><Relationship Id="rId119" Type="http://schemas.openxmlformats.org/officeDocument/2006/relationships/hyperlink" Target="https://doi.org/10.1145/365153.365168" TargetMode="External"/><Relationship Id="rId120" Type="http://schemas.openxmlformats.org/officeDocument/2006/relationships/hyperlink" Target="https://openai.com/index/chatgpt/" TargetMode="External"/><Relationship Id="rId121" Type="http://schemas.openxmlformats.org/officeDocument/2006/relationships/hyperlink" Target="https://www.darpa.mil/news/features/arpanet" TargetMode="External"/><Relationship Id="rId122" Type="http://schemas.openxmlformats.org/officeDocument/2006/relationships/hyperlink" Target="https://www.internetsociety.org/news/press-releases/2013/new-years-day-marks-30th-anniversary-of-major-milestone-for-global-internet/" TargetMode="External"/><Relationship Id="rId123" Type="http://schemas.openxmlformats.org/officeDocument/2006/relationships/hyperlink" Target="https://home.cern/science/computing/the-birth-of-the-web/short-history-web/" TargetMode="External"/><Relationship Id="rId124" Type="http://schemas.openxmlformats.org/officeDocument/2006/relationships/hyperlink" Target="https://home.cern/open-internet-and-web/" TargetMode="External"/><Relationship Id="rId125" Type="http://schemas.openxmlformats.org/officeDocument/2006/relationships/hyperlink" Target="https://www.w3.org/TR/vc-data-model-2.0/" TargetMode="External"/><Relationship Id="rId126" Type="http://schemas.openxmlformats.org/officeDocument/2006/relationships/hyperlink" Target="https://www.w3.org/TR/vc-data-integrity/" TargetMode="External"/><Relationship Id="rId127" Type="http://schemas.openxmlformats.org/officeDocument/2006/relationships/hyperlink" Target="https://www.w3.org/TR/vc-jose-cose/" TargetMode="External"/><Relationship Id="rId128" Type="http://schemas.openxmlformats.org/officeDocument/2006/relationships/hyperlink" Target="https://openid.net/specs/openid-4-verifiable-credential-issuance-1_0.html" TargetMode="External"/><Relationship Id="rId129" Type="http://schemas.openxmlformats.org/officeDocument/2006/relationships/hyperlink" Target="https://openid.net/specs/openid-4-verifiable-presentations-1_0.html" TargetMode="External"/><Relationship Id="rId130" Type="http://schemas.openxmlformats.org/officeDocument/2006/relationships/hyperlink" Target="https://doi.org/10.6028/NIST.SP.800-63-4" TargetMode="External"/><Relationship Id="rId131" Type="http://schemas.openxmlformats.org/officeDocument/2006/relationships/hyperlink" Target="https://doi.org/10.6028/NIST.IR.8202" TargetMode="External"/><Relationship Id="rId132" Type="http://schemas.openxmlformats.org/officeDocument/2006/relationships/hyperlink" Target="https://www.who.int/publications/i/item/9789240029200" TargetMode="External"/><Relationship Id="rId133" Type="http://schemas.openxmlformats.org/officeDocument/2006/relationships/hyperlink" Target="https://www.who.int/publications/i/item/9789240078871" TargetMode="External"/><Relationship Id="rId134" Type="http://schemas.openxmlformats.org/officeDocument/2006/relationships/hyperlink" Target="https://www.who.int/publications/i/item/9789240084759" TargetMode="External"/><Relationship Id="rId135" Type="http://schemas.openxmlformats.org/officeDocument/2006/relationships/hyperlink" Target="https://www.who.int/publications/b/70584" TargetMode="External"/><Relationship Id="rId136" Type="http://schemas.openxmlformats.org/officeDocument/2006/relationships/hyperlink" Target="https://www.who.int/europe/publications/i/item/WHO-EURO-2026-12707-52481-81471" TargetMode="External"/><Relationship Id="rId137" Type="http://schemas.openxmlformats.org/officeDocument/2006/relationships/hyperlink" Target="https://www.who.int/publications/i/item/B09667" TargetMode="External"/><Relationship Id="rId138" Type="http://schemas.openxmlformats.org/officeDocument/2006/relationships/hyperlink" Target="https://health.ec.europa.eu/document/download/b45335c5-1679-4c71-a91c-fc7a4d37f12b_en" TargetMode="External"/><Relationship Id="rId139" Type="http://schemas.openxmlformats.org/officeDocument/2006/relationships/hyperlink" Target="https://health.ec.europa.eu/document/download/b78a17d7-e3cd-4943-851d-e02a2f22bbb4_en" TargetMode="External"/><Relationship Id="rId140" Type="http://schemas.openxmlformats.org/officeDocument/2006/relationships/hyperlink" Target="https://www.who.int/news-room/fact-sheets/detail/adolescent-mental-health" TargetMode="External"/><Relationship Id="rId141" Type="http://schemas.openxmlformats.org/officeDocument/2006/relationships/hyperlink" Target="https://www.who.int/groups/commission-on-social-connection/report" TargetMode="External"/><Relationship Id="rId142" Type="http://schemas.openxmlformats.org/officeDocument/2006/relationships/hyperlink" Target="https://www.unicef.org/innocenti/reports/policy-guidance-ai-children" TargetMode="External"/><Relationship Id="rId143" Type="http://schemas.openxmlformats.org/officeDocument/2006/relationships/hyperlink" Target="https://www.unicef.org/documents/when-ai-becomes-friend-child-rights-risks" TargetMode="External"/><Relationship Id="rId144" Type="http://schemas.openxmlformats.org/officeDocument/2006/relationships/hyperlink" Target="https://www.ftc.gov/news-events/news/press-releases/2025/09/ftc-launches-inquiry-ai-chatbots-acting-companions" TargetMode="External"/><Relationship Id="rId145" Type="http://schemas.openxmlformats.org/officeDocument/2006/relationships/hyperlink" Target="https://unesdoc.unesco.org/ark:/48223/pf0000386693" TargetMode="External"/><Relationship Id="rId146" Type="http://schemas.openxmlformats.org/officeDocument/2006/relationships/hyperlink" Target="https://www.unesco.org/en/articles/guidance-generative-ai-education-and-research" TargetMode="External"/><Relationship Id="rId147" Type="http://schemas.openxmlformats.org/officeDocument/2006/relationships/hyperlink" Target="https://doi.org/10.54394/HETP0387" TargetMode="External"/><Relationship Id="rId148" Type="http://schemas.openxmlformats.org/officeDocument/2006/relationships/hyperlink" Target="https://doi.org/10.1038/s41562-018-0335-2" TargetMode="External"/><Relationship Id="rId149" Type="http://schemas.openxmlformats.org/officeDocument/2006/relationships/hyperlink" Target="https://unctad.org/publication/technology-and-innovation-report-2025" TargetMode="External"/><Relationship Id="rId150" Type="http://schemas.openxmlformats.org/officeDocument/2006/relationships/hyperlink" Target="https://www.iea.org/reports/energy-and-ai" TargetMode="External"/><Relationship Id="rId151" Type="http://schemas.openxmlformats.org/officeDocument/2006/relationships/hyperlink" Target="https://eta.lbl.gov/publications/2024-lbnl-data-center-energy-usage-report" TargetMode="External"/><Relationship Id="rId152" Type="http://schemas.openxmlformats.org/officeDocument/2006/relationships/hyperlink" Target="https://www.usgs.gov/mission-areas/water-resources/science/water-use-terminology" TargetMode="External"/><Relationship Id="rId153" Type="http://schemas.openxmlformats.org/officeDocument/2006/relationships/hyperlink" Target="https://www.iso.org/standard/37456.html" TargetMode="External"/><Relationship Id="rId154" Type="http://schemas.openxmlformats.org/officeDocument/2006/relationships/hyperlink" Target="https://www.iso.org/standard/38498.html" TargetMode="External"/><Relationship Id="rId155" Type="http://schemas.openxmlformats.org/officeDocument/2006/relationships/hyperlink" Target="https://doi.org/10.3133/mcs2026" TargetMode="External"/><Relationship Id="rId156" Type="http://schemas.openxmlformats.org/officeDocument/2006/relationships/hyperlink" Target="https://www.iea.org/reports/global-critical-minerals-outlook-2025" TargetMode="External"/><Relationship Id="rId157" Type="http://schemas.openxmlformats.org/officeDocument/2006/relationships/hyperlink" Target="https://www.itu.int/hub/publication/d-gen-e_waste-01-2024/" TargetMode="External"/><Relationship Id="rId158" Type="http://schemas.openxmlformats.org/officeDocument/2006/relationships/hyperlink" Target="https://www.starcloud.com/starcloud-1" TargetMode="External"/><Relationship Id="rId159" Type="http://schemas.openxmlformats.org/officeDocument/2006/relationships/hyperlink" Target="https://www.axiomspace.com/orbital-data-center" TargetMode="External"/><Relationship Id="rId160" Type="http://schemas.openxmlformats.org/officeDocument/2006/relationships/hyperlink" Target="https://research.google/blog/exploring-a-space-based-scalable-ai-infrastructure-system-design/" TargetMode="External"/><Relationship Id="rId161" Type="http://schemas.openxmlformats.org/officeDocument/2006/relationships/hyperlink" Target="https://cordis.europa.eu/project/id/101082517" TargetMode="External"/><Relationship Id="rId162" Type="http://schemas.openxmlformats.org/officeDocument/2006/relationships/hyperlink" Target="https://cordis.europa.eu/project/id/101082517/reporting" TargetMode="External"/><Relationship Id="rId163" Type="http://schemas.openxmlformats.org/officeDocument/2006/relationships/hyperlink" Target="https://arxiv.org/abs/2604.27197" TargetMode="External"/><Relationship Id="rId164" Type="http://schemas.openxmlformats.org/officeDocument/2006/relationships/hyperlink" Target="https://doi.org/10.48550/arXiv.2604.27197" TargetMode="External"/><Relationship Id="rId165" Type="http://schemas.openxmlformats.org/officeDocument/2006/relationships/hyperlink" Target="https://www.mdpi.com/2076-3417/16/11/5247" TargetMode="External"/><Relationship Id="rId166" Type="http://schemas.openxmlformats.org/officeDocument/2006/relationships/hyperlink" Target="https://doi.org/10.3390/app16115247" TargetMode="External"/><Relationship Id="rId167" Type="http://schemas.openxmlformats.org/officeDocument/2006/relationships/hyperlink" Target="https://onlinelibrary.wiley.com/doi/10.1002/ieam.4722" TargetMode="External"/><Relationship Id="rId168" Type="http://schemas.openxmlformats.org/officeDocument/2006/relationships/hyperlink" Target="https://doi.org/10.1002/ieam.4722" TargetMode="External"/><Relationship Id="rId169" Type="http://schemas.openxmlformats.org/officeDocument/2006/relationships/hyperlink" Target="https://repository.library.noaa.gov/view/noaa/58476" TargetMode="External"/><Relationship Id="rId170" Type="http://schemas.openxmlformats.org/officeDocument/2006/relationships/hyperlink" Target="https://doi.org/10.1073/pnas.2313374120" TargetMode="External"/><Relationship Id="rId171" Type="http://schemas.openxmlformats.org/officeDocument/2006/relationships/hyperlink" Target="https://kpa.co.ke/Ports/PortOfMombasa" TargetMode="External"/><Relationship Id="rId172" Type="http://schemas.openxmlformats.org/officeDocument/2006/relationships/hyperlink" Target="https://www.ttcanc.org/about-us/who-we-are/" TargetMode="External"/><Relationship Id="rId173" Type="http://schemas.openxmlformats.org/officeDocument/2006/relationships/hyperlink" Target="https://www.nist.gov/document/vision-success-facilities-semiconductor-materials-and-manufacturing-equipment" TargetMode="External"/><Relationship Id="rId174" Type="http://schemas.openxmlformats.org/officeDocument/2006/relationships/hyperlink" Target="https://www.gao.gov/products/gao-22-105923" TargetMode="External"/><Relationship Id="rId175" Type="http://schemas.openxmlformats.org/officeDocument/2006/relationships/hyperlink" Target="https://digital-strategy.ec.europa.eu/en/policies/european-chips-act" TargetMode="External"/><Relationship Id="rId176" Type="http://schemas.openxmlformats.org/officeDocument/2006/relationships/hyperlink" Target="https://digital-strategy.ec.europa.eu/en/library/proposal-chips-act-20" TargetMode="External"/><Relationship Id="rId177" Type="http://schemas.openxmlformats.org/officeDocument/2006/relationships/hyperlink" Target="https://www.federalregister.gov/documents/2026/01/15/2026-00789/revision-to-license-review-policy-for-advanced-computing-commodities" TargetMode="External"/><Relationship Id="rId178" Type="http://schemas.openxmlformats.org/officeDocument/2006/relationships/hyperlink" Target="https://www.itu.int/hub/publication/s-iab-wg-2026/" TargetMode="External"/><Relationship Id="rId179" Type="http://schemas.openxmlformats.org/officeDocument/2006/relationships/hyperlink" Target="https://assets.publishing.service.gov.uk/media/688b20e6ff8c05468cb7b120/summary_of_final_decision.pdf" TargetMode="External"/><Relationship Id="rId180" Type="http://schemas.openxmlformats.org/officeDocument/2006/relationships/hyperlink" Target="https://www.enisa.europa.eu/publications/enisa-threat-landscape-2025" TargetMode="External"/><Relationship Id="rId181" Type="http://schemas.openxmlformats.org/officeDocument/2006/relationships/hyperlink" Target="https://www.enisa.europa.eu/publications/enisas-view-on-cybersecurity-in-the-frontier-ai-era" TargetMode="External"/><Relationship Id="rId182" Type="http://schemas.openxmlformats.org/officeDocument/2006/relationships/hyperlink" Target="https://digitallibrary.un.org/record/3908015" TargetMode="External"/><Relationship Id="rId183" Type="http://schemas.openxmlformats.org/officeDocument/2006/relationships/hyperlink" Target="https://doi.org/10.15779/Z38RV0D15J" TargetMode="External"/><Relationship Id="rId184" Type="http://schemas.openxmlformats.org/officeDocument/2006/relationships/hyperlink" Target="https://eur-lex.europa.eu/eli/reg/2024/1689/oj/eng" TargetMode="External"/><Relationship Id="rId185" Type="http://schemas.openxmlformats.org/officeDocument/2006/relationships/hyperlink" Target="https://ai-act-service-desk.ec.europa.eu/en/ai-act/article-50" TargetMode="External"/><Relationship Id="rId186" Type="http://schemas.openxmlformats.org/officeDocument/2006/relationships/hyperlink" Target="https://ai-act-service-desk.ec.europa.eu/en/ai-act/article-53" TargetMode="External"/><Relationship Id="rId187" Type="http://schemas.openxmlformats.org/officeDocument/2006/relationships/hyperlink" Target="https://eur-lex.europa.eu/eli/reg/2016/679/oj/eng" TargetMode="External"/><Relationship Id="rId188" Type="http://schemas.openxmlformats.org/officeDocument/2006/relationships/hyperlink" Target="https://www.edpb.europa.eu/documents/guideline/automated-decision-making-and-profiling_en" TargetMode="External"/><Relationship Id="rId189" Type="http://schemas.openxmlformats.org/officeDocument/2006/relationships/hyperlink" Target="https://infocuria.curia.europa.eu/tabs/redirect/juris/document/document.jsf?docid=280426&amp;doclang=en" TargetMode="External"/><Relationship Id="rId190" Type="http://schemas.openxmlformats.org/officeDocument/2006/relationships/hyperlink" Target="https://eur-lex.europa.eu/eli/reg/2024/1183/oj/eng" TargetMode="External"/><Relationship Id="rId191" Type="http://schemas.openxmlformats.org/officeDocument/2006/relationships/hyperlink" Target="https://github.com/eu-digital-identity-wallet/eudi-doc-architecture-and-reference-framework/releases/tag/v3.0.0" TargetMode="External"/><Relationship Id="rId192" Type="http://schemas.openxmlformats.org/officeDocument/2006/relationships/hyperlink" Target="https://eur-lex.europa.eu/eli/reg/2022/2065/oj/eng" TargetMode="External"/><Relationship Id="rId193" Type="http://schemas.openxmlformats.org/officeDocument/2006/relationships/hyperlink" Target="https://ai-act-service-desk.ec.europa.eu/en/ai-act/article-5" TargetMode="External"/><Relationship Id="rId194" Type="http://schemas.openxmlformats.org/officeDocument/2006/relationships/hyperlink" Target="https://eur-lex.europa.eu/eli/dir/2024/2831/oj/eng" TargetMode="External"/><Relationship Id="rId195" Type="http://schemas.openxmlformats.org/officeDocument/2006/relationships/hyperlink" Target="https://eur-lex.europa.eu/eli/dir/2019/790/oj/eng" TargetMode="External"/><Relationship Id="rId196" Type="http://schemas.openxmlformats.org/officeDocument/2006/relationships/hyperlink" Target="https://eur-lex.europa.eu/eli/reg/2017/745/oj/eng" TargetMode="External"/><Relationship Id="rId197" Type="http://schemas.openxmlformats.org/officeDocument/2006/relationships/hyperlink" Target="https://eur-lex.europa.eu/eli/reg/2017/746/oj/eng" TargetMode="External"/><Relationship Id="rId198" Type="http://schemas.openxmlformats.org/officeDocument/2006/relationships/hyperlink" Target="https://www.edpb.europa.eu/system/files/2023-05/edpb_guidelines_202304_frtlawenforcement_v2_en.pdf" TargetMode="External"/><Relationship Id="rId199" Type="http://schemas.openxmlformats.org/officeDocument/2006/relationships/hyperlink" Target="https://www.garanteprivacy.it/temi/internet-e-nuove-tecnologie/eredita-digitale" TargetMode="External"/><Relationship Id="rId200" Type="http://schemas.openxmlformats.org/officeDocument/2006/relationships/hyperlink" Target="https://digital-strategy.ec.europa.eu/en/news/commission-publishes-code-practice-marking-and-labelling-ai-generated-content" TargetMode="External"/><Relationship Id="rId201" Type="http://schemas.openxmlformats.org/officeDocument/2006/relationships/hyperlink" Target="https://digital-strategy.ec.europa.eu/en/library/commission-opinion-assessment-code-practice-transparency-ai-generated-content" TargetMode="External"/><Relationship Id="rId202" Type="http://schemas.openxmlformats.org/officeDocument/2006/relationships/hyperlink" Target="https://digital-strategy.ec.europa.eu/en/news/general-purpose-ai-code-practice-now-available" TargetMode="External"/><Relationship Id="rId203" Type="http://schemas.openxmlformats.org/officeDocument/2006/relationships/hyperlink" Target="https://www.inf.ed.ac.uk/about/AIhistory.html" TargetMode="External"/><Relationship Id="rId204" Type="http://schemas.openxmlformats.org/officeDocument/2006/relationships/hyperlink" Target="https://doi.org/10.1609/aimag.v6i3.494" TargetMode="External"/><Relationship Id="rId205" Type="http://schemas.openxmlformats.org/officeDocument/2006/relationships/hyperlink" Target="https://arxiv.org/abs/2305.04388v2" TargetMode="External"/><Relationship Id="rId206" Type="http://schemas.openxmlformats.org/officeDocument/2006/relationships/hyperlink" Target="https://doi.org/10.1177/2053951715622512" TargetMode="External"/><Relationship Id="rId207" Type="http://schemas.openxmlformats.org/officeDocument/2006/relationships/hyperlink" Target="https://spec.c2pa.org/specifications/specifications/2.2/explainer/Explainer.html" TargetMode="External"/><Relationship Id="rId208" Type="http://schemas.openxmlformats.org/officeDocument/2006/relationships/hyperlink" Target="https://doi.org/10.6028/NIST.AI.100-1" TargetMode="External"/><Relationship Id="rId209" Type="http://schemas.openxmlformats.org/officeDocument/2006/relationships/hyperlink" Target="https://doi.org/10.1518/001872097778543886" TargetMode="External"/><Relationship Id="rId210" Type="http://schemas.openxmlformats.org/officeDocument/2006/relationships/hyperlink" Target="https://doi.org/10.6028/NIST.SP.1270" TargetMode="External"/><Relationship Id="rId211" Type="http://schemas.openxmlformats.org/officeDocument/2006/relationships/hyperlink" Target="https://doi.org/10.1257/jep.29.3.3" TargetMode="External"/><Relationship Id="rId212" Type="http://schemas.openxmlformats.org/officeDocument/2006/relationships/hyperlink" Target="https://doi.org/10.1073/pnas.2422633122" TargetMode="External"/><Relationship Id="rId213" Type="http://schemas.openxmlformats.org/officeDocument/2006/relationships/hyperlink" Target="https://doi.org/10.1073/pnas.1618923114" TargetMode="External"/><Relationship Id="rId214" Type="http://schemas.openxmlformats.org/officeDocument/2006/relationships/hyperlink" Target="https://doi.org/10.1093/qje/qjae044" TargetMode="External"/><Relationship Id="rId215" Type="http://schemas.openxmlformats.org/officeDocument/2006/relationships/hyperlink" Target="https://doi.org/10.1093/jcr/ucaf040" TargetMode="External"/><Relationship Id="rId216" Type="http://schemas.openxmlformats.org/officeDocument/2006/relationships/hyperlink" Target="https://doi.org/10.1126/sciadv.adn5290" TargetMode="External"/><Relationship Id="rId217" Type="http://schemas.openxmlformats.org/officeDocument/2006/relationships/hyperlink" Target="https://doi.org/10.2196/mental.7785" TargetMode="External"/><Relationship Id="rId218" Type="http://schemas.openxmlformats.org/officeDocument/2006/relationships/hyperlink" Target="https://doi.org/10.1007/s13347-024-00744-w" TargetMode="External"/><Relationship Id="rId219" Type="http://schemas.openxmlformats.org/officeDocument/2006/relationships/hyperlink" Target="https://assets.publishing.service.gov.uk/media/69cbb8d52d120d9d5ec0f311/Actions_on_cloud_and_business_software_through_the_UK_digital_markets_competition_regime.pdf" TargetMode="External"/><Relationship Id="rId220" Type="http://schemas.openxmlformats.org/officeDocument/2006/relationships/hyperlink" Target="https://www.gov.uk/cma-cases/microsofts-business-software-ecosystem" TargetMode="External"/><Relationship Id="rId221" Type="http://schemas.openxmlformats.org/officeDocument/2006/relationships/hyperlink" Target="https://www.ttcanc.org/corridor-infrastructure/port-of-mombasa/" TargetMode="External"/><Relationship Id="rId222" Type="http://schemas.openxmlformats.org/officeDocument/2006/relationships/hyperlink" Target="https://www.govinfo.gov/content/pkg/FR-2026-04-09/html/2026-06851.htm" TargetMode="External"/><Relationship Id="rId223" Type="http://schemas.openxmlformats.org/officeDocument/2006/relationships/hyperlink" Target="https://www.bis.gov/media/documents/bis-guidance-may-31-2026.pdf" TargetMode="External"/><Relationship Id="rId224" Type="http://schemas.openxmlformats.org/officeDocument/2006/relationships/hyperlink" Target="https://eur-lex.europa.eu/legal-content/EN/TXT/?uri=CELEX:32026R1744" TargetMode="External"/><Relationship Id="rId225" Type="http://schemas.openxmlformats.org/officeDocument/2006/relationships/hyperlink" Target="https://digital-strategy.ec.europa.eu/en/policies/eudi-wallet-implementation" TargetMode="External"/><Relationship Id="rId226" Type="http://schemas.openxmlformats.org/officeDocument/2006/relationships/hyperlink" Target="https://papers.nips.cc/paper_files/paper/2012/hash/c399862d3b9d6b76c8436e924a68c45b-Abstract.html" TargetMode="External"/><Relationship Id="rId227" Type="http://schemas.openxmlformats.org/officeDocument/2006/relationships/hyperlink" Target="https://papers.nips.cc/paper_files/paper/2017/hash/3f5ee243547dee91fbd053c1c4a845aa-Abstract.html" TargetMode="External"/><Relationship Id="rId228" Type="http://schemas.openxmlformats.org/officeDocument/2006/relationships/hyperlink" Target="https://www.w3.org/TR/2025/REC-vc-data-model-2.0-20250515/" TargetMode="External"/><Relationship Id="rId229" Type="http://schemas.openxmlformats.org/officeDocument/2006/relationships/hyperlink" Target="https://www.w3.org/TR/2025/REC-vc-data-integrity-20250515/" TargetMode="External"/><Relationship Id="rId230" Type="http://schemas.openxmlformats.org/officeDocument/2006/relationships/hyperlink" Target="https://www.w3.org/TR/2025/REC-vc-jose-cose-20250515/" TargetMode="External"/><Relationship Id="rId231" Type="http://schemas.openxmlformats.org/officeDocument/2006/relationships/hyperlink" Target="https://doi.org/10.71468/P1WC7Q" TargetMode="External"/><Relationship Id="rId232" Type="http://schemas.openxmlformats.org/officeDocument/2006/relationships/hyperlink" Target="https://ewastemonitor.info/the-global-e-waste-monitor-2024/" TargetMode="External"/><Relationship Id="rId233" Type="http://schemas.openxmlformats.org/officeDocument/2006/relationships/hyperlink" Target="https://www.itu.int/dms_pub/itu-s/opb/iab/S-IAB-WG-2026-PDF-E.pdf" TargetMode="External"/><Relationship Id="rId234" Type="http://schemas.openxmlformats.org/officeDocument/2006/relationships/hyperlink" Target="https://doi.org/10.2824/1946374" TargetMode="External"/><Relationship Id="rId235" Type="http://schemas.openxmlformats.org/officeDocument/2006/relationships/hyperlink" Target="https://doi.org/10.2824/9549088" TargetMode="External"/><Relationship Id="rId236" Type="http://schemas.openxmlformats.org/officeDocument/2006/relationships/hyperlink" Target="https://docs.un.org/en/A/75/816" TargetMode="External"/><Relationship Id="rId237" Type="http://schemas.openxmlformats.org/officeDocument/2006/relationships/hyperlink" Target="https://eur-lex.europa.eu/legal-content/EN/TXT/?uri=CELEX:32024R1689" TargetMode="External"/><Relationship Id="rId238" Type="http://schemas.openxmlformats.org/officeDocument/2006/relationships/hyperlink" Target="https://eur-lex.europa.eu/legal-content/EN/TXT/?uri=CELEX:62021CJ0634" TargetMode="External"/><Relationship Id="rId239" Type="http://schemas.openxmlformats.org/officeDocument/2006/relationships/hyperlink" Target="https://eur-lex.europa.eu/legal-content/EN/TXT/HTML/?uri=CELEX:32024R1183" TargetMode="External"/><Relationship Id="rId240" Type="http://schemas.openxmlformats.org/officeDocument/2006/relationships/hyperlink" Target="https://eur-lex.europa.eu/legal-content/EN/TXT/?uri=CELEX:32022R2065" TargetMode="External"/><Relationship Id="rId241" Type="http://schemas.openxmlformats.org/officeDocument/2006/relationships/hyperlink" Target="https://eur-lex.europa.eu/legal-content/EN/TXT/?uri=CELEX:32024L2831" TargetMode="External"/><Relationship Id="rId242" Type="http://schemas.openxmlformats.org/officeDocument/2006/relationships/hyperlink" Target="https://eur-lex.europa.eu/eli/reg/2017/745/oj" TargetMode="External"/><Relationship Id="rId243" Type="http://schemas.openxmlformats.org/officeDocument/2006/relationships/hyperlink" Target="https://eur-lex.europa.eu/legal-content/EN/TXT/?uri=CELEX:32017R0746"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EBGaramond-Regular.odttf"/><Relationship Id="rId2" Type="http://schemas.openxmlformats.org/officeDocument/2006/relationships/font" Target="fonts/EBGaramond-Bold.odttf"/><Relationship Id="rId3" Type="http://schemas.openxmlformats.org/officeDocument/2006/relationships/font" Target="fonts/EBGaramond-Italic.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EB Garamond"/>
        <a:ea typeface="EB Garamond"/>
        <a:cs typeface="EB Garamond"/>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EB Garamond"/>
        <a:ea typeface="EB Garamond"/>
        <a:cs typeface="EB Garamond"/>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Searchable Bibliography</dc:title>
  <dc:subject>2050 Resource version EN-US-R2.3 | LETTER</dc:subject>
  <dc:creator>Marco De Prosperis</dc:creator>
  <cp:keywords>2050, EN-US-R2.3, July 2026 documentary snapshot, revised English interior</cp:keywords>
  <dc:description>EN-US-R2.3 resources verified against the English V51.2 interior. This release updates version labels and release documentation; substantive resource text is unchanged.</dc:description>
  <cp:lastModifiedBy>Corner Italiano LLC</cp:lastModifiedBy>
  <cp:revision>2</cp:revision>
  <dcterms:created xsi:type="dcterms:W3CDTF">2013-12-23T23:15:00Z</dcterms:created>
  <dcterms:modified xsi:type="dcterms:W3CDTF">2026-09-10T15:59:06Z</dcterms:modified>
  <cp:category/>
</cp:coreProperties>
</file>