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odttf" ContentType="application/vnd.openxmlformats-officedocument.obfuscatedFont"/>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line="240" w:lineRule="auto"/>
        <w:jc w:val="center"/>
      </w:pPr>
      <w:r>
        <w:drawing>
          <wp:inline xmlns:a="http://schemas.openxmlformats.org/drawingml/2006/main" xmlns:pic="http://schemas.openxmlformats.org/drawingml/2006/picture">
            <wp:extent cx="1508760" cy="1005840"/>
            <wp:docPr id="1" name="Picture 1" descr="Corner Italiano editorial logo" title="Corner Italiano"/>
            <wp:cNvGraphicFramePr>
              <a:graphicFrameLocks noChangeAspect="1"/>
            </wp:cNvGraphicFramePr>
            <a:graphic>
              <a:graphicData uri="http://schemas.openxmlformats.org/drawingml/2006/picture">
                <pic:pic>
                  <pic:nvPicPr>
                    <pic:cNvPr id="0" name="corner-italiano-logo.png"/>
                    <pic:cNvPicPr/>
                  </pic:nvPicPr>
                  <pic:blipFill>
                    <a:blip r:embed="rId12"/>
                    <a:stretch>
                      <a:fillRect/>
                    </a:stretch>
                  </pic:blipFill>
                  <pic:spPr>
                    <a:xfrm>
                      <a:off x="0" y="0"/>
                      <a:ext cx="1508760" cy="1005840"/>
                    </a:xfrm>
                    <a:prstGeom prst="rect"/>
                  </pic:spPr>
                </pic:pic>
              </a:graphicData>
            </a:graphic>
          </wp:inline>
        </w:drawing>
        <w:rPr>
          <w:rFonts w:ascii="EB Garamond" w:hAnsi="EB Garamond" w:eastAsia="EB Garamond" w:cs="EB Garamond"/>
          <w:sz w:val="21"/>
          <w:szCs w:val="21"/>
        </w:rPr>
      </w:r>
    </w:p>
    <w:p>
      <w:pPr>
        <w:spacing w:before="520" w:after="160" w:line="270" w:lineRule="exact"/>
        <w:jc w:val="center"/>
      </w:pPr>
      <w:r>
        <w:rPr>
          <w:rFonts w:ascii="EB Garamond" w:hAnsi="EB Garamond" w:eastAsia="EB Garamond" w:cs="EB Garamond"/>
          <w:b/>
          <w:color w:val="B04A35"/>
          <w:sz w:val="21"/>
          <w:szCs w:val="21"/>
        </w:rPr>
        <w:t>CORNER ITALIANO  |  OFFICIAL RESOURCES</w:t>
      </w:r>
    </w:p>
    <w:p>
      <w:pPr>
        <w:pStyle w:val="Title"/>
        <w:jc w:val="center"/>
        <w:spacing w:line="640" w:lineRule="exact"/>
      </w:pPr>
      <w:r>
        <w:rPr>
          <w:rFonts w:ascii="EB Garamond" w:hAnsi="EB Garamond" w:eastAsia="EB Garamond" w:cs="EB Garamond"/>
          <w:b/>
          <w:color w:val="183445"/>
          <w:sz w:val="56"/>
          <w:szCs w:val="56"/>
        </w:rPr>
        <w:t>Advanced Two-System Testing Protocol</w:t>
      </w:r>
    </w:p>
    <w:p>
      <w:pPr>
        <w:pStyle w:val="Subtitle"/>
        <w:jc w:val="center"/>
        <w:spacing w:line="320" w:lineRule="exact"/>
      </w:pPr>
      <w:r>
        <w:rPr>
          <w:rFonts w:ascii="EB Garamond" w:hAnsi="EB Garamond" w:eastAsia="EB Garamond" w:cs="EB Garamond"/>
          <w:color w:val="5A686F"/>
          <w:sz w:val="26"/>
          <w:szCs w:val="26"/>
        </w:rPr>
        <w:t>How to use a second system without turning it into an automatic rubber stamp</w:t>
      </w:r>
    </w:p>
    <w:p>
      <w:pPr>
        <w:spacing w:before="440" w:line="270" w:lineRule="exact"/>
        <w:jc w:val="center"/>
      </w:pPr>
      <w:r>
        <w:rPr>
          <w:rFonts w:ascii="EB Garamond" w:hAnsi="EB Garamond" w:eastAsia="EB Garamond" w:cs="EB Garamond"/>
          <w:b/>
          <w:color w:val="B04A35"/>
          <w:sz w:val="21"/>
          <w:szCs w:val="21"/>
        </w:rPr>
        <w:t>EXTENDED OPERATIONAL PROTOCOL</w:t>
      </w:r>
    </w:p>
    <w:p>
      <w:pPr>
        <w:jc w:val="center"/>
        <w:spacing w:line="270" w:lineRule="exact"/>
      </w:pPr>
      <w:r>
        <w:rPr>
          <w:rFonts w:ascii="EB Garamond" w:hAnsi="EB Garamond" w:eastAsia="EB Garamond" w:cs="EB Garamond"/>
          <w:color w:val="183445"/>
          <w:sz w:val="21"/>
          <w:szCs w:val="21"/>
        </w:rPr>
        <w:t>Aligned with the revised English interior · Documentary snapshot July 2026 · </w:t>
        <w:br/>
        <w:t>Resource version EN-US-R2.3</w:t>
      </w:r>
    </w:p>
    <w:p>
      <w:pPr>
        <w:spacing w:before="360" w:line="270" w:lineRule="exact"/>
        <w:jc w:val="center"/>
      </w:pPr>
      <w:hyperlink r:id="rId13">
        <w:r>
          <w:rPr>
            <w:rFonts w:ascii="EB Garamond" w:hAnsi="EB Garamond" w:eastAsia="EB Garamond" w:cs="EB Garamond"/>
            <w:color w:val="183445"/>
            <w:u w:val="single"/>
            <w:sz w:val="21"/>
            <w:szCs w:val="21"/>
          </w:rPr>
          <w:t>https://www.corneritaliano.com/en/2050/resources/</w:t>
        </w:r>
      </w:hyperlink>
    </w:p>
    <w:p>
      <w:r>
        <w:br w:type="page"/>
        <w:rPr>
          <w:rFonts w:ascii="EB Garamond" w:hAnsi="EB Garamond" w:eastAsia="EB Garamond" w:cs="EB Garamond"/>
          <w:sz w:val="21"/>
          <w:szCs w:val="21"/>
        </w:rPr>
      </w:r>
      <w:pPr/>
    </w:p>
    <w:tbl>
      <w:tblPr>
        <w:tblW w:type="dxa" w:w="9840"/>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9840"/>
      </w:tblGrid>
      <w:tr>
        <w:trPr>
          <w:cantSplit/>
        </w:trPr>
        <w:tc>
          <w:tcPr>
            <w:tcW w:type="dxa" w:w="9840"/>
            <w:shd w:fill="F7E7E0"/>
            <w:tcMar>
              <w:top w:w="120" w:type="dxa"/>
              <w:start w:w="150" w:type="dxa"/>
              <w:bottom w:w="120" w:type="dxa"/>
              <w:end w:w="150" w:type="dxa"/>
            </w:tcMar>
          </w:tcPr>
          <w:p>
            <w:pPr>
              <w:spacing w:after="40" w:line="210" w:lineRule="exact"/>
            </w:pPr>
            <w:r>
              <w:rPr>
                <w:rFonts w:ascii="EB Garamond" w:hAnsi="EB Garamond" w:eastAsia="EB Garamond" w:cs="EB Garamond"/>
                <w:b/>
                <w:color w:val="B04A35"/>
                <w:sz w:val="17"/>
                <w:szCs w:val="17"/>
              </w:rPr>
              <w:t xml:space="preserve">FUNDAMENTAL RULE  </w:t>
            </w:r>
            <w:r>
              <w:rPr>
                <w:rFonts w:ascii="EB Garamond" w:hAnsi="EB Garamond" w:eastAsia="EB Garamond" w:cs="EB Garamond"/>
                <w:color w:val="1F2D33"/>
                <w:sz w:val="17"/>
                <w:szCs w:val="17"/>
              </w:rPr>
              <w:t>A second system can look for errors or conditions that challenge the result. A different name, model, or provider does not establish independent verification. Attach its evidence to the Test without treating it as a second Test or adding votes.</w:t>
            </w:r>
          </w:p>
        </w:tc>
      </w:tr>
    </w:tbl>
    <w:p>
      <w:pPr>
        <w:spacing w:after="0"/>
      </w:pPr>
    </w:p>
    <w:p>
      <w:pPr>
        <w:keepLines w:val="0"/>
        <w:spacing w:line="270" w:lineRule="exact"/>
      </w:pPr>
      <w:r>
        <w:rPr>
          <w:rFonts w:ascii="EB Garamond" w:hAnsi="EB Garamond" w:eastAsia="EB Garamond" w:cs="EB Garamond"/>
          <w:color w:val="1F2D33"/>
          <w:sz w:val="21"/>
          <w:szCs w:val="21"/>
        </w:rPr>
        <w:t>Before use, define the legitimate outcome and the human benchmark. Identify prohibited actions and the groups exposed to benefits or costs. Divide the work into tasks and assign a mode, level, and risk to each. Set the time to harm and the divergence capable of changing the outcome, then name the responsible person and the stop condition. Begin in shadow mode and use adverse cases before permitting limited volume with reversible effects. A second system cannot by itself resolve conflicts of value or unequal access. Organizational capacity and Redress remain necessary.</w:t>
      </w:r>
    </w:p>
    <w:p>
      <w:pPr>
        <w:pStyle w:val="Heading1"/>
        <w:spacing w:line="460" w:lineRule="exact"/>
      </w:pPr>
      <w:r>
        <w:t>1. Purpose and limits</w:t>
        <w:rPr>
          <w:rFonts w:ascii="EB Garamond" w:hAnsi="EB Garamond" w:eastAsia="EB Garamond" w:cs="EB Garamond"/>
          <w:sz w:val="40"/>
          <w:szCs w:val="40"/>
          <w:color w:val="183445"/>
        </w:rPr>
      </w:r>
    </w:p>
    <w:p>
      <w:pPr>
        <w:keepLines w:val="0"/>
        <w:spacing w:line="270" w:lineRule="exact"/>
      </w:pPr>
      <w:r>
        <w:rPr>
          <w:rFonts w:ascii="EB Garamond" w:hAnsi="EB Garamond" w:eastAsia="EB Garamond" w:cs="EB Garamond"/>
          <w:color w:val="1F2D33"/>
          <w:sz w:val="21"/>
          <w:szCs w:val="21"/>
        </w:rPr>
        <w:t>Use this protocol when pairing a primary system with a second system that looks for errors or conditions that challenge the result and could justify reopening the case. Treat the output as additional evidence within the 2050 Test. Competent judgment, Redress, and stop authority remain necessary.</w:t>
      </w:r>
    </w:p>
    <w:p>
      <w:pPr>
        <w:keepLines w:val="0"/>
        <w:spacing w:line="270" w:lineRule="exact"/>
      </w:pPr>
      <w:r>
        <w:rPr>
          <w:rFonts w:ascii="EB Garamond" w:hAnsi="EB Garamond" w:eastAsia="EB Garamond" w:cs="EB Garamond"/>
          <w:color w:val="1F2D33"/>
          <w:sz w:val="21"/>
          <w:szCs w:val="21"/>
        </w:rPr>
        <w:t>Agreement between the systems does not prove that an outcome is correct, and disagreement does not authorize an automatic average. Shared sources or data can lead both systems to the same error, as can common labels or infrastructure.</w:t>
      </w:r>
    </w:p>
    <w:p>
      <w:pPr>
        <w:pStyle w:val="Heading1"/>
        <w:spacing w:line="460" w:lineRule="exact"/>
      </w:pPr>
      <w:r>
        <w:t>2. Roles and separation of responsibilities</w:t>
        <w:rPr>
          <w:rFonts w:ascii="EB Garamond" w:hAnsi="EB Garamond" w:eastAsia="EB Garamond" w:cs="EB Garamond"/>
          <w:sz w:val="40"/>
          <w:szCs w:val="40"/>
          <w:color w:val="183445"/>
        </w:rPr>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460"/>
        <w:gridCol w:w="7380"/>
      </w:tblGrid>
      <w:tr>
        <w:trPr>
          <w:tblHeader w:val="true"/>
          <w:cantSplit/>
        </w:trPr>
        <w:tc>
          <w:tcPr>
            <w:tcW w:type="dxa" w:w="2460"/>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Role</w:t>
            </w:r>
          </w:p>
        </w:tc>
        <w:tc>
          <w:tcPr>
            <w:tcW w:type="dxa" w:w="7380"/>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Minimum responsibility</w:t>
            </w:r>
          </w:p>
        </w:tc>
      </w:tr>
      <w:tr>
        <w:trPr>
          <w:cantSplit/>
        </w:trPr>
        <w:tc>
          <w:tcPr>
            <w:tcW w:type="dxa" w:w="24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Test owner</w:t>
            </w:r>
          </w:p>
        </w:tc>
        <w:tc>
          <w:tcPr>
            <w:tcW w:type="dxa" w:w="7380"/>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Defines the problem, Mandate, non-compensable thresholds, and organizational decision. Does not delegate approval to the two systems.</w:t>
            </w:r>
          </w:p>
        </w:tc>
      </w:tr>
      <w:tr>
        <w:trPr>
          <w:cantSplit/>
        </w:trPr>
        <w:tc>
          <w:tcPr>
            <w:tcW w:type="dxa" w:w="246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System A</w:t>
            </w:r>
          </w:p>
        </w:tc>
        <w:tc>
          <w:tcPr>
            <w:tcW w:type="dxa" w:w="738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Performs the task within the experimental scope and retains inputs, version, outputs, sources, and uncertainty.</w:t>
            </w:r>
          </w:p>
        </w:tc>
      </w:tr>
      <w:tr>
        <w:trPr>
          <w:cantSplit/>
        </w:trPr>
        <w:tc>
          <w:tcPr>
            <w:tcW w:type="dxa" w:w="24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System B</w:t>
            </w:r>
          </w:p>
        </w:tc>
        <w:tc>
          <w:tcPr>
            <w:tcW w:type="dxa" w:w="7380"/>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Looks for errors, contrary conditions, or evidence that could change the outcome; it does not average its answer with A.</w:t>
            </w:r>
          </w:p>
        </w:tc>
      </w:tr>
      <w:tr>
        <w:trPr>
          <w:cantSplit/>
        </w:trPr>
        <w:tc>
          <w:tcPr>
            <w:tcW w:type="dxa" w:w="246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Test lead</w:t>
            </w:r>
          </w:p>
        </w:tc>
        <w:tc>
          <w:tcPr>
            <w:tcW w:type="dxa" w:w="738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Keeps data, logs, configurations, and access separate; documents common dependencies and divergences.</w:t>
            </w:r>
          </w:p>
        </w:tc>
      </w:tr>
      <w:tr>
        <w:trPr>
          <w:cantSplit/>
        </w:trPr>
        <w:tc>
          <w:tcPr>
            <w:tcW w:type="dxa" w:w="2460"/>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Competent reviewer</w:t>
            </w:r>
          </w:p>
        </w:tc>
        <w:tc>
          <w:tcPr>
            <w:tcW w:type="dxa" w:w="7380"/>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Reconstructs the disputed point within the available control window and may narrow, suspend, or stop.</w:t>
            </w:r>
          </w:p>
        </w:tc>
      </w:tr>
      <w:tr>
        <w:trPr>
          <w:cantSplit/>
        </w:trPr>
        <w:tc>
          <w:tcPr>
            <w:tcW w:type="dxa" w:w="246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Stop authority</w:t>
            </w:r>
          </w:p>
        </w:tc>
        <w:tc>
          <w:tcPr>
            <w:tcW w:type="dxa" w:w="7380"/>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Applies the written consequence without waiting for the provider or informal consensus.</w:t>
            </w:r>
          </w:p>
        </w:tc>
      </w:tr>
    </w:tbl>
    <w:p>
      <w:pPr>
        <w:spacing w:after="0"/>
      </w:pPr>
    </w:p>
    <w:p>
      <w:pPr>
        <w:pStyle w:val="Heading1"/>
        <w:spacing w:line="460" w:lineRule="exact"/>
      </w:pPr>
      <w:r>
        <w:t>3. Conditions before testing</w:t>
        <w:rPr>
          <w:rFonts w:ascii="EB Garamond" w:hAnsi="EB Garamond" w:eastAsia="EB Garamond" w:cs="EB Garamond"/>
          <w:sz w:val="40"/>
          <w:szCs w:val="40"/>
          <w:color w:val="183445"/>
        </w:rPr>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656"/>
        <w:gridCol w:w="7184"/>
      </w:tblGrid>
      <w:tr>
        <w:trPr>
          <w:tblHeader w:val="true"/>
          <w:cantSplit/>
        </w:trPr>
        <w:tc>
          <w:tcPr>
            <w:tcW w:type="dxa" w:w="2656"/>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Before activation</w:t>
            </w:r>
          </w:p>
        </w:tc>
        <w:tc>
          <w:tcPr>
            <w:tcW w:type="dxa" w:w="7184"/>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Question to close</w:t>
            </w:r>
          </w:p>
        </w:tc>
      </w:tr>
      <w:tr>
        <w:trPr>
          <w:cantSplit/>
        </w:trPr>
        <w:tc>
          <w:tcPr>
            <w:tcW w:type="dxa" w:w="26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Legitimate outcome</w:t>
            </w:r>
          </w:p>
        </w:tc>
        <w:tc>
          <w:tcPr>
            <w:tcW w:type="dxa" w:w="718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What result would be acceptable, and what observable improvement would justify it?</w:t>
            </w:r>
          </w:p>
        </w:tc>
      </w:tr>
      <w:tr>
        <w:trPr>
          <w:cantSplit/>
        </w:trPr>
        <w:tc>
          <w:tcPr>
            <w:tcW w:type="dxa" w:w="265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Prohibited actions</w:t>
            </w:r>
          </w:p>
        </w:tc>
        <w:tc>
          <w:tcPr>
            <w:tcW w:type="dxa" w:w="7184"/>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What may neither system decide or execute?</w:t>
            </w:r>
          </w:p>
        </w:tc>
      </w:tr>
      <w:tr>
        <w:trPr>
          <w:cantSplit/>
        </w:trPr>
        <w:tc>
          <w:tcPr>
            <w:tcW w:type="dxa" w:w="26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Exposed groups</w:t>
            </w:r>
          </w:p>
        </w:tc>
        <w:tc>
          <w:tcPr>
            <w:tcW w:type="dxa" w:w="718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Who receives the benefit, and who bears risk, delay, work, or difficulty challenging the outcome?</w:t>
            </w:r>
          </w:p>
        </w:tc>
      </w:tr>
      <w:tr>
        <w:trPr>
          <w:cantSplit/>
        </w:trPr>
        <w:tc>
          <w:tcPr>
            <w:tcW w:type="dxa" w:w="265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Control window</w:t>
            </w:r>
          </w:p>
        </w:tc>
        <w:tc>
          <w:tcPr>
            <w:tcW w:type="dxa" w:w="7184"/>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How much time remains between the error and a consequence that becomes difficult to correct?</w:t>
            </w:r>
          </w:p>
        </w:tc>
      </w:tr>
      <w:tr>
        <w:trPr>
          <w:cantSplit/>
        </w:trPr>
        <w:tc>
          <w:tcPr>
            <w:tcW w:type="dxa" w:w="26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Decisive divergence</w:t>
            </w:r>
          </w:p>
        </w:tc>
        <w:tc>
          <w:tcPr>
            <w:tcW w:type="dxa" w:w="718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What disagreement requires reopening the case or prevents the effect?</w:t>
            </w:r>
          </w:p>
        </w:tc>
      </w:tr>
      <w:tr>
        <w:trPr>
          <w:cantSplit/>
        </w:trPr>
        <w:tc>
          <w:tcPr>
            <w:tcW w:type="dxa" w:w="2656"/>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Stopping</w:t>
            </w:r>
          </w:p>
        </w:tc>
        <w:tc>
          <w:tcPr>
            <w:tcW w:type="dxa" w:w="7184"/>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Who can stop the process, in response to what signal, and what service continues in degraded mode?</w:t>
            </w:r>
          </w:p>
        </w:tc>
      </w:tr>
      <w:tr>
        <w:trPr>
          <w:cantSplit/>
        </w:trPr>
        <w:tc>
          <w:tcPr>
            <w:tcW w:type="dxa" w:w="2656"/>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Exit</w:t>
            </w:r>
          </w:p>
        </w:tc>
        <w:tc>
          <w:tcPr>
            <w:tcW w:type="dxa" w:w="7184"/>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Can data, logs, configurations, and permissions be reconstructed without the primary service?</w:t>
            </w:r>
          </w:p>
        </w:tc>
      </w:tr>
    </w:tbl>
    <w:p>
      <w:pPr>
        <w:spacing w:after="0"/>
      </w:pPr>
    </w:p>
    <w:p>
      <w:pPr>
        <w:pStyle w:val="Heading1"/>
        <w:spacing w:line="460" w:lineRule="exact"/>
      </w:pPr>
      <w:r>
        <w:t>4. Case library</w:t>
        <w:rPr>
          <w:rFonts w:ascii="EB Garamond" w:hAnsi="EB Garamond" w:eastAsia="EB Garamond" w:cs="EB Garamond"/>
          <w:sz w:val="40"/>
          <w:szCs w:val="40"/>
          <w:color w:val="183445"/>
        </w:rPr>
      </w:r>
    </w:p>
    <w:p>
      <w:pPr>
        <w:keepLines w:val="0"/>
        <w:spacing w:line="270" w:lineRule="exact"/>
      </w:pPr>
      <w:r>
        <w:rPr>
          <w:rFonts w:ascii="EB Garamond" w:hAnsi="EB Garamond" w:eastAsia="EB Garamond" w:cs="EB Garamond"/>
          <w:color w:val="1F2D33"/>
          <w:sz w:val="21"/>
          <w:szCs w:val="21"/>
        </w:rPr>
        <w:t>Build a versioned library of realistic failures that goes beyond convenient samples. For each case, retain the legitimate outcome and what could disprove it, with the name of a competent person able to reconstruct it.</w:t>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362"/>
        <w:gridCol w:w="7478"/>
      </w:tblGrid>
      <w:tr>
        <w:trPr>
          <w:tblHeader w:val="true"/>
          <w:cantSplit/>
        </w:trPr>
        <w:tc>
          <w:tcPr>
            <w:tcW w:type="dxa" w:w="2362"/>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Case family</w:t>
            </w:r>
          </w:p>
        </w:tc>
        <w:tc>
          <w:tcPr>
            <w:tcW w:type="dxa" w:w="7478"/>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What it must test</w:t>
            </w:r>
          </w:p>
        </w:tc>
      </w:tr>
      <w:tr>
        <w:trPr>
          <w:cantSplit/>
        </w:trPr>
        <w:tc>
          <w:tcPr>
            <w:tcW w:type="dxa" w:w="2362"/>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Ordinary case</w:t>
            </w:r>
          </w:p>
        </w:tc>
        <w:tc>
          <w:tcPr>
            <w:tcW w:type="dxa" w:w="7478"/>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Expected performance, actual time, and readability of the explanation.</w:t>
            </w:r>
          </w:p>
        </w:tc>
      </w:tr>
      <w:tr>
        <w:trPr>
          <w:cantSplit/>
        </w:trPr>
        <w:tc>
          <w:tcPr>
            <w:tcW w:type="dxa" w:w="2362"/>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Edge case</w:t>
            </w:r>
          </w:p>
        </w:tc>
        <w:tc>
          <w:tcPr>
            <w:tcW w:type="dxa" w:w="7478"/>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A rare but plausible condition capable of changing the outcome.</w:t>
            </w:r>
          </w:p>
        </w:tc>
      </w:tr>
      <w:tr>
        <w:trPr>
          <w:cantSplit/>
        </w:trPr>
        <w:tc>
          <w:tcPr>
            <w:tcW w:type="dxa" w:w="2362"/>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Incomplete data</w:t>
            </w:r>
          </w:p>
        </w:tc>
        <w:tc>
          <w:tcPr>
            <w:tcW w:type="dxa" w:w="7478"/>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Ability to recognize what is missing and prevent false confidence.</w:t>
            </w:r>
          </w:p>
        </w:tc>
      </w:tr>
      <w:tr>
        <w:trPr>
          <w:cantSplit/>
        </w:trPr>
        <w:tc>
          <w:tcPr>
            <w:tcW w:type="dxa" w:w="2362"/>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Conflicting instructions</w:t>
            </w:r>
          </w:p>
        </w:tc>
        <w:tc>
          <w:tcPr>
            <w:tcW w:type="dxa" w:w="7478"/>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Priority, escalation, and traceability of the rule applied.</w:t>
            </w:r>
          </w:p>
        </w:tc>
      </w:tr>
      <w:tr>
        <w:trPr>
          <w:cantSplit/>
        </w:trPr>
        <w:tc>
          <w:tcPr>
            <w:tcW w:type="dxa" w:w="2362"/>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Correlated error</w:t>
            </w:r>
          </w:p>
        </w:tc>
        <w:tc>
          <w:tcPr>
            <w:tcW w:type="dxa" w:w="7478"/>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A shared source, annotation, dependency, or metric that may mislead both systems.</w:t>
            </w:r>
          </w:p>
        </w:tc>
      </w:tr>
      <w:tr>
        <w:trPr>
          <w:cantSplit/>
        </w:trPr>
        <w:tc>
          <w:tcPr>
            <w:tcW w:type="dxa" w:w="2362"/>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Overload</w:t>
            </w:r>
          </w:p>
        </w:tc>
        <w:tc>
          <w:tcPr>
            <w:tcW w:type="dxa" w:w="7478"/>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Concurrency, attention, and reviewer capacity under the expected volume.</w:t>
            </w:r>
          </w:p>
        </w:tc>
      </w:tr>
      <w:tr>
        <w:trPr>
          <w:cantSplit/>
        </w:trPr>
        <w:tc>
          <w:tcPr>
            <w:tcW w:type="dxa" w:w="2362"/>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Unavailability</w:t>
            </w:r>
          </w:p>
        </w:tc>
        <w:tc>
          <w:tcPr>
            <w:tcW w:type="dxa" w:w="7478"/>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Degraded mode, continuity, recovery, and costs shifted to users and staff.</w:t>
            </w:r>
          </w:p>
        </w:tc>
      </w:tr>
      <w:tr>
        <w:trPr>
          <w:cantSplit/>
        </w:trPr>
        <w:tc>
          <w:tcPr>
            <w:tcW w:type="dxa" w:w="2362"/>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Exit</w:t>
            </w:r>
          </w:p>
        </w:tc>
        <w:tc>
          <w:tcPr>
            <w:tcW w:type="dxa" w:w="7478"/>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Reopening a case outside the primary service with working permissions and configurations.</w:t>
            </w:r>
          </w:p>
        </w:tc>
      </w:tr>
    </w:tbl>
    <w:p>
      <w:pPr>
        <w:spacing w:after="0"/>
      </w:pPr>
    </w:p>
    <w:p>
      <w:pPr>
        <w:pStyle w:val="Heading1"/>
        <w:spacing w:line="460" w:lineRule="exact"/>
      </w:pPr>
      <w:r>
        <w:t>5. Phased procedure</w:t>
        <w:rPr>
          <w:rFonts w:ascii="EB Garamond" w:hAnsi="EB Garamond" w:eastAsia="EB Garamond" w:cs="EB Garamond"/>
          <w:sz w:val="40"/>
          <w:szCs w:val="40"/>
          <w:color w:val="183445"/>
        </w:rPr>
      </w:r>
    </w:p>
    <w:p>
      <w:pPr>
        <w:pStyle w:val="Heading2"/>
        <w:spacing w:line="360" w:lineRule="exact"/>
      </w:pPr>
      <w:r>
        <w:t>Phase 0 - Preparation</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Complete Purpose, Mandate, Evidence, Distribution, Harm, Redress, and Exit. Record the human benchmark and each task’s mode, level, and risk. Before seeing either system’s performance, define the decisive divergence and stop threshold, with degraded mode and prohibited data recorded in advance.</w:t>
      </w:r>
    </w:p>
    <w:p>
      <w:pPr>
        <w:pStyle w:val="Heading2"/>
        <w:spacing w:line="360" w:lineRule="exact"/>
      </w:pPr>
      <w:r>
        <w:t>Phase 1 - Separate shadow mode</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A and B observe the same cases without external effects. Inputs, versions, outputs, sources, and logs remain separate. A person compares decisive points, not merely linguistic similarity.</w:t>
      </w:r>
    </w:p>
    <w:p>
      <w:pPr>
        <w:pStyle w:val="Heading2"/>
        <w:spacing w:line="360" w:lineRule="exact"/>
      </w:pPr>
      <w:r>
        <w:t>Phase 2 - Correlated errors</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Introduce defective common sources, missing data, rare exceptions, conflicting instructions, shared components, and unavailability. Verify whether agreement hides a common dependency.</w:t>
      </w:r>
    </w:p>
    <w:p>
      <w:pPr>
        <w:pStyle w:val="Heading2"/>
        <w:spacing w:line="360" w:lineRule="exact"/>
      </w:pPr>
      <w:r>
        <w:t>Phase 3 - Reconstructability under load</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Repeat the test at the expected volume and concurrency. Measure performance, time to harm, detection and restoration, and missed interventions. Check explanations and residual competence, disparities, and concentration of power. Confirm that the reviewer can reconstruct the decisive point, compare the alternative, and stop before harm occurs.</w:t>
      </w:r>
    </w:p>
    <w:p>
      <w:pPr>
        <w:pStyle w:val="Heading2"/>
        <w:spacing w:line="360" w:lineRule="exact"/>
      </w:pPr>
      <w:r>
        <w:t>Phase 4 - Limited and reversible volume</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Only if the earlier phases hold, use a narrow scope with reversible effects, complete logs, a reachable person, and immediate stopping. A favorable average does not automatically authorize expansion.</w:t>
      </w:r>
    </w:p>
    <w:p>
      <w:pPr>
        <w:pStyle w:val="Heading2"/>
        <w:spacing w:line="360" w:lineRule="exact"/>
      </w:pPr>
      <w:r>
        <w:t>Phase 5 - Exit and review</w:t>
        <w:rPr>
          <w:rFonts w:ascii="EB Garamond" w:hAnsi="EB Garamond" w:eastAsia="EB Garamond" w:cs="EB Garamond"/>
          <w:sz w:val="30"/>
          <w:szCs w:val="30"/>
          <w:color w:val="B04A35"/>
        </w:rPr>
      </w:r>
    </w:p>
    <w:p>
      <w:pPr>
        <w:keepLines w:val="0"/>
        <w:spacing w:line="270" w:lineRule="exact"/>
      </w:pPr>
      <w:r>
        <w:rPr>
          <w:rFonts w:ascii="EB Garamond" w:hAnsi="EB Garamond" w:eastAsia="EB Garamond" w:cs="EB Garamond"/>
          <w:color w:val="1F2D33"/>
          <w:sz w:val="21"/>
          <w:szCs w:val="21"/>
        </w:rPr>
        <w:t>Export and reopen a case with data, configurations, and permissions outside the primary service. Give every authorization an expiration date and thresholds for suspension and return. Review when the model, data, provider, scale, task, or responsible people change, or at the stated deadline. Ensure that affected people know the Mandate and can challenge the outcome. Examine failures and costs before expanding the scope.</w:t>
      </w:r>
    </w:p>
    <w:p>
      <w:pPr>
        <w:spacing w:after="480" w:line="270" w:lineRule="exact"/>
      </w:pPr>
      <w:r>
        <w:t xml:space="preserve"> </w:t>
        <w:rPr>
          <w:rFonts w:ascii="EB Garamond" w:hAnsi="EB Garamond" w:eastAsia="EB Garamond" w:cs="EB Garamond"/>
          <w:sz w:val="21"/>
          <w:szCs w:val="21"/>
        </w:rPr>
      </w:r>
    </w:p>
    <w:p>
      <w:pPr>
        <w:pStyle w:val="Heading1"/>
        <w:spacing w:line="460" w:lineRule="exact"/>
      </w:pPr>
      <w:r>
        <w:t>6. Conditions specific to two-system review</w:t>
        <w:rPr>
          <w:rFonts w:ascii="EB Garamond" w:hAnsi="EB Garamond" w:eastAsia="EB Garamond" w:cs="EB Garamond"/>
          <w:sz w:val="40"/>
          <w:szCs w:val="40"/>
          <w:color w:val="183445"/>
        </w:rPr>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952"/>
        <w:gridCol w:w="6888"/>
      </w:tblGrid>
      <w:tr>
        <w:trPr>
          <w:tblHeader w:val="true"/>
          <w:cantSplit/>
        </w:trPr>
        <w:tc>
          <w:tcPr>
            <w:tcW w:type="dxa" w:w="2952"/>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Condition</w:t>
            </w:r>
          </w:p>
        </w:tc>
        <w:tc>
          <w:tcPr>
            <w:tcW w:type="dxa" w:w="6888"/>
            <w:vAlign w:val="center"/>
            <w:tcMar>
              <w:top w:w="90" w:type="dxa"/>
              <w:start w:w="120" w:type="dxa"/>
              <w:bottom w:w="90" w:type="dxa"/>
              <w:end w:w="120" w:type="dxa"/>
            </w:tcMar>
            <w:shd w:fill="123044"/>
          </w:tcPr>
          <w:p>
            <w:pPr>
              <w:spacing w:after="0" w:line="210" w:lineRule="exact"/>
            </w:pPr>
            <w:r>
              <w:rPr>
                <w:rFonts w:ascii="EB Garamond" w:hAnsi="EB Garamond" w:eastAsia="EB Garamond" w:cs="EB Garamond"/>
                <w:b/>
                <w:color w:val="FFFFFF"/>
                <w:sz w:val="17"/>
                <w:szCs w:val="17"/>
              </w:rPr>
              <w:t>Required test</w:t>
            </w:r>
          </w:p>
        </w:tc>
      </w:tr>
      <w:tr>
        <w:trPr>
          <w:cantSplit/>
        </w:trPr>
        <w:tc>
          <w:tcPr>
            <w:tcW w:type="dxa" w:w="2952"/>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Effective independence</w:t>
            </w:r>
          </w:p>
        </w:tc>
        <w:tc>
          <w:tcPr>
            <w:tcW w:type="dxa" w:w="6888"/>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Demonstrate separation or relevant differences in sources, data, objectives, and logs. A different name, model, or provider is not enough.</w:t>
            </w:r>
          </w:p>
        </w:tc>
      </w:tr>
      <w:tr>
        <w:trPr>
          <w:cantSplit/>
        </w:trPr>
        <w:tc>
          <w:tcPr>
            <w:tcW w:type="dxa" w:w="2952"/>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Correlated errors</w:t>
            </w:r>
          </w:p>
        </w:tc>
        <w:tc>
          <w:tcPr>
            <w:tcW w:type="dxa" w:w="6888"/>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Look for shared defects: common sources, identical annotations and metrics, common dependencies, incomplete data, conflicting instructions, overload, and unavailability. Agreement can still be wrong in the same way.</w:t>
            </w:r>
          </w:p>
        </w:tc>
      </w:tr>
      <w:tr>
        <w:trPr>
          <w:cantSplit/>
        </w:trPr>
        <w:tc>
          <w:tcPr>
            <w:tcW w:type="dxa" w:w="2952"/>
            <w:vAlign w:val="center"/>
            <w:tcMar>
              <w:top w:w="90" w:type="dxa"/>
              <w:start w:w="120" w:type="dxa"/>
              <w:bottom w:w="90" w:type="dxa"/>
              <w:end w:w="120" w:type="dxa"/>
            </w:tcMar>
          </w:tcPr>
          <w:p>
            <w:pPr>
              <w:spacing w:after="0" w:line="210" w:lineRule="exact"/>
            </w:pPr>
            <w:r>
              <w:rPr>
                <w:rFonts w:ascii="EB Garamond" w:hAnsi="EB Garamond" w:eastAsia="EB Garamond" w:cs="EB Garamond"/>
                <w:b/>
                <w:color w:val="1F2D33"/>
                <w:sz w:val="17"/>
                <w:szCs w:val="17"/>
              </w:rPr>
              <w:t>Decisive divergence</w:t>
            </w:r>
          </w:p>
        </w:tc>
        <w:tc>
          <w:tcPr>
            <w:tcW w:type="dxa" w:w="6888"/>
            <w:vAlign w:val="center"/>
            <w:tcMar>
              <w:top w:w="90" w:type="dxa"/>
              <w:start w:w="120" w:type="dxa"/>
              <w:bottom w:w="90" w:type="dxa"/>
              <w:end w:w="120" w:type="dxa"/>
            </w:tcMar>
          </w:tcPr>
          <w:p>
            <w:pPr>
              <w:spacing w:after="0" w:line="210" w:lineRule="exact"/>
            </w:pPr>
            <w:r>
              <w:rPr>
                <w:rFonts w:ascii="EB Garamond" w:hAnsi="EB Garamond" w:eastAsia="EB Garamond" w:cs="EB Garamond"/>
                <w:b w:val="0"/>
                <w:color w:val="1F2D33"/>
                <w:sz w:val="17"/>
                <w:szCs w:val="17"/>
              </w:rPr>
              <w:t>Define in advance which disagreement may change the outcome; keep inputs, versions, outputs, and logs separate. Do not average scores or confidence to turn disagreement into authorization.</w:t>
            </w:r>
          </w:p>
        </w:tc>
      </w:tr>
      <w:tr>
        <w:trPr>
          <w:cantSplit/>
        </w:trPr>
        <w:tc>
          <w:tcPr>
            <w:tcW w:type="dxa" w:w="2952"/>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color w:val="1F2D33"/>
                <w:sz w:val="17"/>
                <w:szCs w:val="17"/>
              </w:rPr>
              <w:t>Predefined stopping</w:t>
            </w:r>
          </w:p>
        </w:tc>
        <w:tc>
          <w:tcPr>
            <w:tcW w:type="dxa" w:w="6888"/>
            <w:vAlign w:val="center"/>
            <w:tcMar>
              <w:top w:w="90" w:type="dxa"/>
              <w:start w:w="120" w:type="dxa"/>
              <w:bottom w:w="90" w:type="dxa"/>
              <w:end w:w="120" w:type="dxa"/>
            </w:tcMar>
            <w:shd w:fill="EFF2F3"/>
          </w:tcPr>
          <w:p>
            <w:pPr>
              <w:spacing w:after="0" w:line="210" w:lineRule="exact"/>
            </w:pPr>
            <w:r>
              <w:rPr>
                <w:rFonts w:ascii="EB Garamond" w:hAnsi="EB Garamond" w:eastAsia="EB Garamond" w:cs="EB Garamond"/>
                <w:b w:val="0"/>
                <w:color w:val="1F2D33"/>
                <w:sz w:val="17"/>
                <w:szCs w:val="17"/>
              </w:rPr>
              <w:t>If a decisive divergence cannot be reconstructed within the control window, apply the written consequence: narrow the Mandate, move to degraded mode, Do not delegate before launch, or Stop active use.</w:t>
            </w:r>
          </w:p>
        </w:tc>
      </w:tr>
    </w:tbl>
    <w:p>
      <w:pPr>
        <w:spacing w:after="0"/>
      </w:pPr>
    </w:p>
    <w:p>
      <w:pPr>
        <w:pStyle w:val="Heading1"/>
        <w:spacing w:line="460" w:lineRule="exact"/>
      </w:pPr>
      <w:r>
        <w:t>7. Minimum log</w:t>
        <w:rPr>
          <w:rFonts w:ascii="EB Garamond" w:hAnsi="EB Garamond" w:eastAsia="EB Garamond" w:cs="EB Garamond"/>
          <w:sz w:val="40"/>
          <w:szCs w:val="40"/>
          <w:color w:val="183445"/>
        </w:rPr>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558"/>
        <w:gridCol w:w="7282"/>
      </w:tblGrid>
      <w:tr>
        <w:trPr>
          <w:tblHeader w:val="true"/>
          <w:cantSplit/>
        </w:trPr>
        <w:tc>
          <w:tcPr>
            <w:tcW w:type="dxa" w:w="2558"/>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Log field</w:t>
            </w:r>
          </w:p>
        </w:tc>
        <w:tc>
          <w:tcPr>
            <w:tcW w:type="dxa" w:w="7282"/>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Content to retain</w:t>
            </w:r>
          </w:p>
        </w:tc>
      </w:tr>
      <w:tr>
        <w:trPr>
          <w:cantSplit/>
        </w:trPr>
        <w:tc>
          <w:tcPr>
            <w:tcW w:type="dxa" w:w="25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Identification</w:t>
            </w:r>
          </w:p>
        </w:tc>
        <w:tc>
          <w:tcPr>
            <w:tcW w:type="dxa" w:w="7282"/>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Case, date, owner, version A, version B, configurations, and sources.</w:t>
            </w:r>
          </w:p>
        </w:tc>
      </w:tr>
      <w:tr>
        <w:trPr>
          <w:cantSplit/>
        </w:trPr>
        <w:tc>
          <w:tcPr>
            <w:tcW w:type="dxa" w:w="255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Separate inputs</w:t>
            </w:r>
          </w:p>
        </w:tc>
        <w:tc>
          <w:tcPr>
            <w:tcW w:type="dxa" w:w="7282"/>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Data available to each system, excluded elements, and transformations applied.</w:t>
            </w:r>
          </w:p>
        </w:tc>
      </w:tr>
      <w:tr>
        <w:trPr>
          <w:cantSplit/>
        </w:trPr>
        <w:tc>
          <w:tcPr>
            <w:tcW w:type="dxa" w:w="25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Separate outputs</w:t>
            </w:r>
          </w:p>
        </w:tc>
        <w:tc>
          <w:tcPr>
            <w:tcW w:type="dxa" w:w="7282"/>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Answers, cited sources, uncertainty, alternatives, and available intermediate steps.</w:t>
            </w:r>
          </w:p>
        </w:tc>
      </w:tr>
      <w:tr>
        <w:trPr>
          <w:cantSplit/>
        </w:trPr>
        <w:tc>
          <w:tcPr>
            <w:tcW w:type="dxa" w:w="255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Agreement or divergence</w:t>
            </w:r>
          </w:p>
        </w:tc>
        <w:tc>
          <w:tcPr>
            <w:tcW w:type="dxa" w:w="7282"/>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The substantive point, not a stylistic difference; possible effect on the decision.</w:t>
            </w:r>
          </w:p>
        </w:tc>
      </w:tr>
      <w:tr>
        <w:trPr>
          <w:cantSplit/>
        </w:trPr>
        <w:tc>
          <w:tcPr>
            <w:tcW w:type="dxa" w:w="25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Human reconstruction</w:t>
            </w:r>
          </w:p>
        </w:tc>
        <w:tc>
          <w:tcPr>
            <w:tcW w:type="dxa" w:w="7282"/>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Decisive fact, rule, alternative, time required, and competence needed.</w:t>
            </w:r>
          </w:p>
        </w:tc>
      </w:tr>
      <w:tr>
        <w:trPr>
          <w:cantSplit/>
        </w:trPr>
        <w:tc>
          <w:tcPr>
            <w:tcW w:type="dxa" w:w="255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Consequence</w:t>
            </w:r>
          </w:p>
        </w:tc>
        <w:tc>
          <w:tcPr>
            <w:tcW w:type="dxa" w:w="7282"/>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Continue in shadow mode, repeat, narrow the Mandate, switch to degraded mode, Do not delegate, or Stop.</w:t>
            </w:r>
          </w:p>
        </w:tc>
      </w:tr>
      <w:tr>
        <w:trPr>
          <w:cantSplit/>
        </w:trPr>
        <w:tc>
          <w:tcPr>
            <w:tcW w:type="dxa" w:w="255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Cost</w:t>
            </w:r>
          </w:p>
        </w:tc>
        <w:tc>
          <w:tcPr>
            <w:tcW w:type="dxa" w:w="7282"/>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Hours, delays, training, challenges, dependency, energy, and exit work.</w:t>
            </w:r>
          </w:p>
        </w:tc>
      </w:tr>
    </w:tbl>
    <w:p>
      <w:pPr>
        <w:spacing w:after="0"/>
      </w:pPr>
    </w:p>
    <w:p>
      <w:r>
        <w:br w:type="page"/>
        <w:rPr>
          <w:rFonts w:ascii="EB Garamond" w:hAnsi="EB Garamond" w:eastAsia="EB Garamond" w:cs="EB Garamond"/>
          <w:sz w:val="21"/>
          <w:szCs w:val="21"/>
        </w:rPr>
      </w:r>
      <w:pPr/>
    </w:p>
    <w:p>
      <w:pPr>
        <w:pStyle w:val="Heading1"/>
        <w:spacing w:line="460" w:lineRule="exact"/>
      </w:pPr>
      <w:r>
        <w:t>8. Decision rules</w:t>
        <w:rPr>
          <w:rFonts w:ascii="EB Garamond" w:hAnsi="EB Garamond" w:eastAsia="EB Garamond" w:cs="EB Garamond"/>
          <w:sz w:val="40"/>
          <w:szCs w:val="40"/>
          <w:color w:val="183445"/>
        </w:rPr>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3345"/>
        <w:gridCol w:w="6495"/>
      </w:tblGrid>
      <w:tr>
        <w:trPr>
          <w:tblHeader w:val="true"/>
          <w:cantSplit/>
        </w:trPr>
        <w:tc>
          <w:tcPr>
            <w:tcW w:type="dxa" w:w="3345"/>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Situation</w:t>
            </w:r>
          </w:p>
        </w:tc>
        <w:tc>
          <w:tcPr>
            <w:tcW w:type="dxa" w:w="6495"/>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Minimum consequence</w:t>
            </w:r>
          </w:p>
        </w:tc>
      </w:tr>
      <w:tr>
        <w:trPr>
          <w:cantSplit/>
        </w:trPr>
        <w:tc>
          <w:tcPr>
            <w:tcW w:type="dxa" w:w="3345"/>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A and B agree but share an unverified dependency</w:t>
            </w:r>
          </w:p>
        </w:tc>
        <w:tc>
          <w:tcPr>
            <w:tcW w:type="dxa" w:w="6495"/>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Evidence is Unresolved; do not expand the Mandate.</w:t>
            </w:r>
          </w:p>
        </w:tc>
      </w:tr>
      <w:tr>
        <w:trPr>
          <w:cantSplit/>
        </w:trPr>
        <w:tc>
          <w:tcPr>
            <w:tcW w:type="dxa" w:w="3345"/>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A and B diverge on a non-decisive point and the reason is reconstructable</w:t>
            </w:r>
          </w:p>
        </w:tc>
        <w:tc>
          <w:tcPr>
            <w:tcW w:type="dxa" w:w="6495"/>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Record it; retain the scope; review the case library.</w:t>
            </w:r>
          </w:p>
        </w:tc>
      </w:tr>
      <w:tr>
        <w:trPr>
          <w:cantSplit/>
        </w:trPr>
        <w:tc>
          <w:tcPr>
            <w:tcW w:type="dxa" w:w="3345"/>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A decisive divergence is reconstructable within the control window</w:t>
            </w:r>
          </w:p>
        </w:tc>
        <w:tc>
          <w:tcPr>
            <w:tcW w:type="dxa" w:w="6495"/>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Send it to the competent reviewer; the effect remains suspended until the case is closed.</w:t>
            </w:r>
          </w:p>
        </w:tc>
      </w:tr>
      <w:tr>
        <w:trPr>
          <w:cantSplit/>
        </w:trPr>
        <w:tc>
          <w:tcPr>
            <w:tcW w:type="dxa" w:w="3345"/>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A decisive divergence cannot be reconstructed in time</w:t>
            </w:r>
          </w:p>
        </w:tc>
        <w:tc>
          <w:tcPr>
            <w:tcW w:type="dxa" w:w="6495"/>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Narrow the Mandate or move to degraded mode; if the power is already active, Stop.</w:t>
            </w:r>
          </w:p>
        </w:tc>
      </w:tr>
      <w:tr>
        <w:trPr>
          <w:cantSplit/>
        </w:trPr>
        <w:tc>
          <w:tcPr>
            <w:tcW w:type="dxa" w:w="3345"/>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Both systems fail on the same case</w:t>
            </w:r>
          </w:p>
        </w:tc>
        <w:tc>
          <w:tcPr>
            <w:tcW w:type="dxa" w:w="6495"/>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Treat agreement as a correlated error; correct sources, data, objectives, or process before repeating.</w:t>
            </w:r>
          </w:p>
        </w:tc>
      </w:tr>
      <w:tr>
        <w:trPr>
          <w:cantSplit/>
        </w:trPr>
        <w:tc>
          <w:tcPr>
            <w:tcW w:type="dxa" w:w="3345"/>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Load makes oversight nominal</w:t>
            </w:r>
          </w:p>
        </w:tc>
        <w:tc>
          <w:tcPr>
            <w:tcW w:type="dxa" w:w="6495"/>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Reduce volume or mode; fund human capacity; do not add an ornamental signature.</w:t>
            </w:r>
          </w:p>
        </w:tc>
      </w:tr>
      <w:tr>
        <w:trPr>
          <w:cantSplit/>
        </w:trPr>
        <w:tc>
          <w:tcPr>
            <w:tcW w:type="dxa" w:w="3345"/>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Exit does not reconstruct the service</w:t>
            </w:r>
          </w:p>
        </w:tc>
        <w:tc>
          <w:tcPr>
            <w:tcW w:type="dxa" w:w="6495"/>
            <w:vAlign w:val="center"/>
            <w:tcMar>
              <w:top w:w="65" w:type="dxa"/>
              <w:start w:w="120" w:type="dxa"/>
              <w:bottom w:w="65" w:type="dxa"/>
              <w:end w:w="120" w:type="dxa"/>
            </w:tcMar>
          </w:tcPr>
          <w:p>
            <w:pPr>
              <w:spacing w:after="0" w:line="210" w:lineRule="exact"/>
            </w:pPr>
            <w:r>
              <w:rPr>
                <w:rFonts w:ascii="EB Garamond" w:hAnsi="EB Garamond" w:eastAsia="EB Garamond" w:cs="EB Garamond"/>
                <w:b w:val="0"/>
                <w:color w:val="1F2D33"/>
                <w:sz w:val="17"/>
                <w:szCs w:val="17"/>
              </w:rPr>
              <w:t>Blocking condition: Do not delegate before launch or Stop active use.</w:t>
            </w:r>
          </w:p>
        </w:tc>
      </w:tr>
    </w:tbl>
    <w:p>
      <w:pPr>
        <w:spacing w:after="0"/>
      </w:pPr>
    </w:p>
    <w:p>
      <w:pPr>
        <w:pStyle w:val="Heading1"/>
        <w:spacing w:line="460" w:lineRule="exact"/>
      </w:pPr>
      <w:r>
        <w:t>9. Closing record</w:t>
        <w:rPr>
          <w:rFonts w:ascii="EB Garamond" w:hAnsi="EB Garamond" w:eastAsia="EB Garamond" w:cs="EB Garamond"/>
          <w:sz w:val="40"/>
          <w:szCs w:val="40"/>
          <w:color w:val="183445"/>
        </w:rPr>
      </w:r>
    </w:p>
    <w:tbl>
      <w:tblPr>
        <w:tblW w:type="dxa" w:w="9840"/>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9840"/>
      </w:tblGrid>
      <w:tr>
        <w:trPr>
          <w:cantSplit/>
        </w:trPr>
        <w:tc>
          <w:tcPr>
            <w:tcW w:type="dxa" w:w="9840"/>
            <w:shd w:fill="F7E7E0"/>
            <w:tcMar>
              <w:top w:w="120" w:type="dxa"/>
              <w:start w:w="150" w:type="dxa"/>
              <w:bottom w:w="120" w:type="dxa"/>
              <w:end w:w="150" w:type="dxa"/>
            </w:tcMar>
          </w:tcPr>
          <w:p>
            <w:pPr>
              <w:spacing w:after="40" w:line="210" w:lineRule="exact"/>
            </w:pPr>
            <w:r>
              <w:rPr>
                <w:rFonts w:ascii="EB Garamond" w:hAnsi="EB Garamond" w:eastAsia="EB Garamond" w:cs="EB Garamond"/>
                <w:b/>
                <w:color w:val="B04A35"/>
                <w:sz w:val="17"/>
                <w:szCs w:val="17"/>
              </w:rPr>
              <w:t xml:space="preserve">OUTCOME  </w:t>
            </w:r>
            <w:r>
              <w:rPr>
                <w:rFonts w:ascii="EB Garamond" w:hAnsi="EB Garamond" w:eastAsia="EB Garamond" w:cs="EB Garamond"/>
                <w:color w:val="1F2D33"/>
                <w:sz w:val="17"/>
                <w:szCs w:val="17"/>
              </w:rPr>
              <w:t>Record the version and tested scope, including failed cases, divergences, and unresolved conditions. Retain oversight hours and costs alongside the organizational decision. Name the responsible person and specify the stop condition and review date. A good result does not authorize untested tasks, data, or volumes.</w:t>
            </w:r>
          </w:p>
        </w:tc>
      </w:tr>
    </w:tbl>
    <w:p>
      <w:pPr>
        <w:spacing w:after="0"/>
      </w:pPr>
    </w:p>
    <w:p>
      <w:pPr>
        <w:pStyle w:val="Heading2"/>
        <w:spacing w:line="360" w:lineRule="exact"/>
      </w:pPr>
      <w:r>
        <w:t>Closing checklist</w:t>
        <w:rPr>
          <w:rFonts w:ascii="EB Garamond" w:hAnsi="EB Garamond" w:eastAsia="EB Garamond" w:cs="EB Garamond"/>
          <w:sz w:val="30"/>
          <w:szCs w:val="30"/>
          <w:color w:val="B04A35"/>
        </w:rPr>
      </w:r>
    </w:p>
    <w:tbl>
      <w:tblPr>
        <w:tblW w:type="dxa" w:w="984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4428"/>
        <w:gridCol w:w="5412"/>
      </w:tblGrid>
      <w:tr>
        <w:trPr>
          <w:tblHeader w:val="true"/>
          <w:cantSplit/>
        </w:trPr>
        <w:tc>
          <w:tcPr>
            <w:tcW w:type="dxa" w:w="4428"/>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Control</w:t>
            </w:r>
          </w:p>
        </w:tc>
        <w:tc>
          <w:tcPr>
            <w:tcW w:type="dxa" w:w="5412"/>
            <w:vAlign w:val="center"/>
            <w:tcMar>
              <w:top w:w="65" w:type="dxa"/>
              <w:start w:w="120" w:type="dxa"/>
              <w:bottom w:w="65" w:type="dxa"/>
              <w:end w:w="120" w:type="dxa"/>
            </w:tcMar>
            <w:shd w:fill="123044"/>
          </w:tcPr>
          <w:p>
            <w:pPr>
              <w:spacing w:after="0" w:line="210" w:lineRule="exact"/>
            </w:pPr>
            <w:r>
              <w:rPr>
                <w:rFonts w:ascii="EB Garamond" w:hAnsi="EB Garamond" w:eastAsia="EB Garamond" w:cs="EB Garamond"/>
                <w:b/>
                <w:color w:val="FFFFFF"/>
                <w:sz w:val="17"/>
                <w:szCs w:val="17"/>
              </w:rPr>
              <w:t>Outcome and reference</w:t>
            </w:r>
          </w:p>
        </w:tc>
      </w:tr>
      <w:tr>
        <w:trPr>
          <w:cantSplit/>
          <w:trHeight w:val="360" w:hRule="atLeast"/>
        </w:trPr>
        <w:tc>
          <w:tcPr>
            <w:tcW w:type="dxa" w:w="442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Versions A and B identified</w:t>
            </w:r>
          </w:p>
        </w:tc>
        <w:tc>
          <w:tcPr>
            <w:tcW w:type="dxa" w:w="5412"/>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 ] Common dependencies documented</w:t>
            </w:r>
          </w:p>
        </w:tc>
        <w:tc>
          <w:tcPr>
            <w:tcW w:type="dxa" w:w="5412"/>
            <w:vAlign w:val="center"/>
            <w:tcMar>
              <w:top w:w="65" w:type="dxa"/>
              <w:start w:w="120" w:type="dxa"/>
              <w:bottom w:w="65" w:type="dxa"/>
              <w:end w:w="120" w:type="dxa"/>
            </w:tcMar>
            <w:shd w:fill="EFF2F3"/>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Decisive divergences reconstructed</w:t>
            </w:r>
          </w:p>
        </w:tc>
        <w:tc>
          <w:tcPr>
            <w:tcW w:type="dxa" w:w="5412"/>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 ] Actual load and control window tested</w:t>
            </w:r>
          </w:p>
        </w:tc>
        <w:tc>
          <w:tcPr>
            <w:tcW w:type="dxa" w:w="5412"/>
            <w:vAlign w:val="center"/>
            <w:tcMar>
              <w:top w:w="65" w:type="dxa"/>
              <w:start w:w="120" w:type="dxa"/>
              <w:bottom w:w="65" w:type="dxa"/>
              <w:end w:w="120" w:type="dxa"/>
            </w:tcMar>
            <w:shd w:fill="EFF2F3"/>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Redress and stop authority reachable</w:t>
            </w:r>
          </w:p>
        </w:tc>
        <w:tc>
          <w:tcPr>
            <w:tcW w:type="dxa" w:w="5412"/>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 ] Degraded mode and exit tested</w:t>
            </w:r>
          </w:p>
        </w:tc>
        <w:tc>
          <w:tcPr>
            <w:tcW w:type="dxa" w:w="5412"/>
            <w:vAlign w:val="center"/>
            <w:tcMar>
              <w:top w:w="65" w:type="dxa"/>
              <w:start w:w="120" w:type="dxa"/>
              <w:bottom w:w="65" w:type="dxa"/>
              <w:end w:w="120" w:type="dxa"/>
            </w:tcMar>
            <w:shd w:fill="EFF2F3"/>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 ] Oversight and nonadoption costs recorded</w:t>
            </w:r>
          </w:p>
        </w:tc>
        <w:tc>
          <w:tcPr>
            <w:tcW w:type="dxa" w:w="5412"/>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r>
        <w:trPr>
          <w:cantSplit/>
          <w:trHeight w:val="360" w:hRule="atLeast"/>
        </w:trPr>
        <w:tc>
          <w:tcPr>
            <w:tcW w:type="dxa" w:w="4428"/>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color w:val="1F2D33"/>
                <w:sz w:val="17"/>
                <w:szCs w:val="17"/>
              </w:rPr>
              <w:t>Organizational decision</w:t>
            </w:r>
          </w:p>
        </w:tc>
        <w:tc>
          <w:tcPr>
            <w:tcW w:type="dxa" w:w="5412"/>
            <w:vAlign w:val="center"/>
            <w:tcMar>
              <w:top w:w="65" w:type="dxa"/>
              <w:start w:w="120" w:type="dxa"/>
              <w:bottom w:w="65" w:type="dxa"/>
              <w:end w:w="120" w:type="dxa"/>
            </w:tcMar>
            <w:shd w:fill="EFF2F3"/>
          </w:tcPr>
          <w:p>
            <w:pPr>
              <w:spacing w:after="0" w:line="210" w:lineRule="exact"/>
            </w:pPr>
            <w:r>
              <w:rPr>
                <w:rFonts w:ascii="EB Garamond" w:hAnsi="EB Garamond" w:eastAsia="EB Garamond" w:cs="EB Garamond"/>
                <w:b w:val="0"/>
                <w:color w:val="1F2D33"/>
                <w:sz w:val="17"/>
                <w:szCs w:val="17"/>
              </w:rPr>
              <w:t>[ ] Proceed [ ] Limit and test [ ] Do not delegate [ ] Stop</w:t>
            </w:r>
          </w:p>
        </w:tc>
      </w:tr>
      <w:tr>
        <w:trPr>
          <w:cantSplit/>
          <w:trHeight w:val="360" w:hRule="atLeast"/>
        </w:trPr>
        <w:tc>
          <w:tcPr>
            <w:tcW w:type="dxa" w:w="4428"/>
            <w:vAlign w:val="center"/>
            <w:tcMar>
              <w:top w:w="65" w:type="dxa"/>
              <w:start w:w="120" w:type="dxa"/>
              <w:bottom w:w="65" w:type="dxa"/>
              <w:end w:w="120" w:type="dxa"/>
            </w:tcMar>
          </w:tcPr>
          <w:p>
            <w:pPr>
              <w:spacing w:after="0" w:line="210" w:lineRule="exact"/>
            </w:pPr>
            <w:r>
              <w:rPr>
                <w:rFonts w:ascii="EB Garamond" w:hAnsi="EB Garamond" w:eastAsia="EB Garamond" w:cs="EB Garamond"/>
                <w:b/>
                <w:color w:val="1F2D33"/>
                <w:sz w:val="17"/>
                <w:szCs w:val="17"/>
              </w:rPr>
              <w:t>Responsible person, signature, date, and review</w:t>
            </w:r>
          </w:p>
        </w:tc>
        <w:tc>
          <w:tcPr>
            <w:tcW w:type="dxa" w:w="5412"/>
            <w:vAlign w:val="center"/>
            <w:tcMar>
              <w:top w:w="65" w:type="dxa"/>
              <w:start w:w="120" w:type="dxa"/>
              <w:bottom w:w="65" w:type="dxa"/>
              <w:end w:w="120" w:type="dxa"/>
            </w:tcMar>
          </w:tcPr>
          <w:p>
            <w:pPr>
              <w:spacing w:after="0" w:line="240" w:lineRule="auto"/>
            </w:pPr>
            <w:r>
              <w:rPr>
                <w:rFonts w:ascii="EB Garamond" w:hAnsi="EB Garamond" w:eastAsia="EB Garamond" w:cs="EB Garamond"/>
                <w:b w:val="0"/>
                <w:color w:val="1F2D33"/>
                <w:sz w:val="17"/>
                <w:szCs w:val="17"/>
              </w:rPr>
            </w:r>
          </w:p>
        </w:tc>
      </w:tr>
    </w:tbl>
    <w:p>
      <w:pPr>
        <w:spacing w:after="0"/>
      </w:pPr>
    </w:p>
    <w:sectPr>
      <w:headerReference w:type="default" r:id="rId9"/>
      <w:footerReference w:type="default" r:id="rId10"/>
      <w:footerReference w:type="first" r:id="rId11"/>
      <w:headerReference w:type="first" r:id="rId14"/>
      <w:pgSz w:w="11905" w:h="16838"/>
      <w:pgMar w:top="1008" w:right="1008" w:bottom="1008" w:left="1008" w:header="432" w:footer="432" w:gutter="0"/>
      <w:cols w:space="720"/>
      <w:titlePg/>
      <w:docGrid w:linePitch="360"/>
    </w:sectPr>
  </w:body>
</w:document>
</file>

<file path=word/fontTable.xml><?xml version="1.0" encoding="utf-8"?>
<w:fonts xmlns:w="http://schemas.openxmlformats.org/wordprocessingml/2006/main" xmlns:r="http://schemas.openxmlformats.org/officeDocument/2006/relationships">
  <w:font w:name="EB Garamond">
    <w:altName w:val="Garamond"/>
    <w:charset w:val="00"/>
    <w:family w:val="auto"/>
    <w:pitch w:val="variable"/>
    <w:sig w:usb0="E00002FF" w:usb1="02000413" w:usb2="00000000" w:usb3="00000000" w:csb0="0000019F" w:csb1="00000000"/>
    <w:embedRegular r:id="rId1" w:fontKey="{8803E84C-4695-4705-838C-D4FC599F85E4}"/>
    <w:embedBold r:id="rId2" w:fontKey="{34828F21-0C39-43B1-A4DE-E08636D6C3A3}"/>
    <w:embedItalic r:id="rId3" w:fontKey="{16841129-51C1-4C09-BE4D-4D07B4C2C00A}"/>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720" w:val="left"/>
      </w:tabs>
      <w:spacing w:before="0" w:after="0" w:line="200" w:lineRule="exact"/>
    </w:pPr>
    <w:r>
      <w:rPr>
        <w:rFonts w:ascii="EB Garamond" w:hAnsi="EB Garamond" w:eastAsia="EB Garamond" w:cs="EB Garamond"/>
        <w:color w:val="65757D"/>
        <w:sz w:val="16"/>
        <w:szCs w:val="16"/>
      </w:rPr>
      <w:t>2050 - EN-US-R2.3 - Documentary snapshot July 2026</w:t>
    </w:r>
    <w:r>
      <w:tab/>
      <w:rPr>
        <w:rFonts w:ascii="EB Garamond" w:hAnsi="EB Garamond" w:eastAsia="EB Garamond" w:cs="EB Garamond"/>
        <w:sz w:val="16"/>
        <w:szCs w:val="16"/>
        <w:color w:val="65757D"/>
      </w:rPr>
    </w:r>
    <w:r>
      <w:rPr>
        <w:rFonts w:ascii="EB Garamond" w:hAnsi="EB Garamond" w:eastAsia="EB Garamond" w:cs="EB Garamond"/>
        <w:color w:val="65757D"/>
        <w:sz w:val="16"/>
        <w:szCs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spacing w:line="200" w:lineRule="exact"/>
    </w:pPr>
    <w:r>
      <w:rPr>
        <w:rFonts w:ascii="EB Garamond" w:hAnsi="EB Garamond" w:eastAsia="EB Garamond" w:cs="EB Garamond"/>
        <w:color w:val="65757D"/>
        <w:sz w:val="16"/>
        <w:szCs w:val="16"/>
      </w:rPr>
      <w:t>https://www.corneritaliano.com/en/2050/resources/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line="200" w:lineRule="exact"/>
      <w:jc w:val="left"/>
    </w:pPr>
    <w:r>
      <w:rPr>
        <w:rFonts w:ascii="EB Garamond" w:hAnsi="EB Garamond" w:eastAsia="EB Garamond" w:cs="EB Garamond"/>
        <w:b/>
        <w:color w:val="65757D"/>
        <w:sz w:val="16"/>
        <w:szCs w:val="16"/>
      </w:rPr>
      <w:t xml:space="preserve">2050  |  OFFICIAL RESOURCES  |  </w:t>
    </w:r>
    <w:r>
      <w:rPr>
        <w:rFonts w:ascii="EB Garamond" w:hAnsi="EB Garamond" w:eastAsia="EB Garamond" w:cs="EB Garamond"/>
        <w:color w:val="65757D"/>
        <w:sz w:val="16"/>
        <w:szCs w:val="16"/>
      </w:rPr>
      <w:t>Advanced Two-System Testing Protocol</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EB Garamond" w:hAnsi="EB Garamond" w:eastAsia="EB Garamond" w:cs="EB Garamond"/>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EB Garamond" w:hAnsi="EB Garamond" w:eastAsia="EB Garamond" w:cs="EB Garamond"/>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EB Garamond" w:hAnsi="EB Garamond" w:eastAsia="EB Garamond" w:cs="EB Garamond"/>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EB Garamond" w:hAnsi="EB Garamond" w:eastAsia="EB Garamond" w:cs="EB Garamond"/>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embedTrueTypeFonts/>
  <w:saveSubsetFonts w:val="fals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EB Garamond" w:hAnsi="EB Garamond" w:eastAsia="EB Garamond" w:cs="EB Garamond"/>
        <w:sz w:val="21"/>
        <w:szCs w:val="21"/>
        <w:lang w:val="en-US" w:eastAsia="en-US" w:bidi="ar-SA"/>
        <w:color w:val="1F2D33"/>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00" w:line="270" w:lineRule="exact"/>
    </w:pPr>
    <w:rPr>
      <w:rFonts w:ascii="EB Garamond" w:hAnsi="EB Garamond" w:eastAsia="EB Garamond" w:cs="EB Garamond"/>
      <w:color w:val="1F2D33"/>
      <w:sz w:val="21"/>
      <w:szCs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EB Garamond" w:hAnsi="EB Garamond" w:eastAsia="EB Garamond" w:cs="EB Garamond"/>
      <w:sz w:val="16"/>
      <w:szCs w:val="16"/>
      <w:color w:val="65757D"/>
    </w:rPr>
  </w:style>
  <w:style w:type="character" w:customStyle="1" w:styleId="HeaderChar">
    <w:name w:val="Header Char"/>
    <w:basedOn w:val="DefaultParagraphFont"/>
    <w:link w:val="Header"/>
    <w:uiPriority w:val="99"/>
    <w:rsid w:val="00E618BF"/>
    <w:rPr>
      <w:rFonts w:ascii="EB Garamond" w:hAnsi="EB Garamond" w:eastAsia="EB Garamond" w:cs="EB Garamond"/>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EB Garamond" w:hAnsi="EB Garamond" w:eastAsia="EB Garamond" w:cs="EB Garamond"/>
      <w:sz w:val="16"/>
      <w:szCs w:val="16"/>
      <w:color w:val="65757D"/>
    </w:rPr>
  </w:style>
  <w:style w:type="character" w:customStyle="1" w:styleId="FooterChar">
    <w:name w:val="Footer Char"/>
    <w:basedOn w:val="DefaultParagraphFont"/>
    <w:link w:val="Footer"/>
    <w:uiPriority w:val="99"/>
    <w:rsid w:val="00E618BF"/>
    <w:rPr>
      <w:rFonts w:ascii="EB Garamond" w:hAnsi="EB Garamond" w:eastAsia="EB Garamond" w:cs="EB Garamond"/>
    </w:rPr>
  </w:style>
  <w:style w:type="paragraph" w:styleId="Heading1">
    <w:name w:val="heading 1"/>
    <w:basedOn w:val="Normal"/>
    <w:next w:val="Normal"/>
    <w:link w:val="Heading1Char"/>
    <w:uiPriority w:val="9"/>
    <w:qFormat/>
    <w:rsid w:val="00FC693F"/>
    <w:pPr>
      <w:keepNext/>
      <w:keepLines/>
      <w:spacing w:before="320" w:after="160"/>
      <w:outlineLvl w:val="0"/>
    </w:pPr>
    <w:rPr>
      <w:rFonts w:ascii="EB Garamond" w:hAnsi="EB Garamond" w:eastAsia="EB Garamond" w:cs="EB Garamond"/>
      <w:b/>
      <w:bCs/>
      <w:color w:val="183445"/>
      <w:sz w:val="40"/>
      <w:szCs w:val="40"/>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EB Garamond" w:hAnsi="EB Garamond" w:eastAsia="EB Garamond" w:cs="EB Garamond"/>
      <w:b/>
      <w:bCs/>
      <w:color w:val="B04A35"/>
      <w:sz w:val="30"/>
      <w:szCs w:val="30"/>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EB Garamond" w:hAnsi="EB Garamond" w:eastAsia="EB Garamond" w:cs="EB Garamond"/>
      <w:b/>
      <w:bCs/>
      <w:color w:val="183445"/>
      <w:sz w:val="23"/>
      <w:szCs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EB Garamond" w:hAnsi="EB Garamond" w:eastAsia="EB Garamond" w:cs="EB Garamond"/>
      <w:b/>
      <w:bCs/>
      <w:i/>
      <w:iCs/>
      <w:color w:val="4F81BD"/>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EB Garamond" w:hAnsi="EB Garamond" w:eastAsia="EB Garamond" w:cs="EB Garamond"/>
      <w:color w:val="243F6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EB Garamond" w:hAnsi="EB Garamond" w:eastAsia="EB Garamond" w:cs="EB Garamond"/>
      <w:i/>
      <w:iCs/>
      <w:color w:val="243F6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EB Garamond" w:hAnsi="EB Garamond" w:eastAsia="EB Garamond" w:cs="EB Garamond"/>
      <w:i/>
      <w:iCs/>
      <w:color w:val="404040"/>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EB Garamond" w:hAnsi="EB Garamond" w:eastAsia="EB Garamond" w:cs="EB Garamond"/>
      <w:color w:val="4F81BD"/>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EB Garamond" w:hAnsi="EB Garamond" w:eastAsia="EB Garamond" w:cs="EB Garamond"/>
      <w:i/>
      <w:iCs/>
      <w:color w:val="404040"/>
      <w:sz w:val="20"/>
      <w:szCs w:val="20"/>
    </w:rPr>
  </w:style>
  <w:style w:type="character" w:default="1" w:styleId="DefaultParagraphFont">
    <w:name w:val="Default Paragraph Font"/>
    <w:uiPriority w:val="1"/>
    <w:semiHidden/>
    <w:unhideWhenUsed/>
    <w:rPr>
      <w:rFonts w:ascii="EB Garamond" w:hAnsi="EB Garamond" w:eastAsia="EB Garamond" w:cs="EB Garamond"/>
    </w:rPr>
  </w:style>
  <w:style w:type="table" w:default="1" w:styleId="TableNormal">
    <w:name w:val="Normal Table"/>
    <w:uiPriority w:val="99"/>
    <w:semiHidden/>
    <w:unhideWhenUsed/>
    <w:tblPr>
      <w:tblInd w:w="0" w:type="dxa"/>
      <w:tblCellMar>
        <w:top w:w="0" w:type="dxa"/>
        <w:left w:w="108" w:type="dxa"/>
        <w:bottom w:w="0" w:type="dxa"/>
        <w:right w:w="108" w:type="dxa"/>
      </w:tblCellMar>
    </w:tblPr>
    <w:rPr>
      <w:rFonts w:ascii="EB Garamond" w:hAnsi="EB Garamond" w:eastAsia="EB Garamond" w:cs="EB Garamond"/>
    </w:rPr>
  </w:style>
  <w:style w:type="numbering" w:default="1" w:styleId="NoList">
    <w:name w:val="No List"/>
    <w:uiPriority w:val="99"/>
    <w:semiHidden/>
    <w:unhideWhenUsed/>
    <w:rPr>
      <w:rFonts w:ascii="EB Garamond" w:hAnsi="EB Garamond" w:eastAsia="EB Garamond" w:cs="EB Garamond"/>
    </w:rPr>
  </w:style>
  <w:style w:type="paragraph" w:styleId="NoSpacing">
    <w:name w:val="No Spacing"/>
    <w:uiPriority w:val="1"/>
    <w:qFormat/>
    <w:rsid w:val="00FC693F"/>
    <w:pPr>
      <w:spacing w:after="0" w:line="240" w:lineRule="auto"/>
    </w:pPr>
    <w:rPr>
      <w:rFonts w:ascii="EB Garamond" w:hAnsi="EB Garamond" w:eastAsia="EB Garamond" w:cs="EB Garamond"/>
    </w:rPr>
  </w:style>
  <w:style w:type="character" w:customStyle="1" w:styleId="Heading1Char">
    <w:name w:val="Heading 1 Char"/>
    <w:basedOn w:val="DefaultParagraphFont"/>
    <w:link w:val="Heading1"/>
    <w:uiPriority w:val="9"/>
    <w:rsid w:val="00FC693F"/>
    <w:rPr>
      <w:rFonts w:ascii="EB Garamond" w:hAnsi="EB Garamond" w:eastAsia="EB Garamond" w:cs="EB Garamond"/>
      <w:b/>
      <w:bCs/>
      <w:color w:val="365F91"/>
      <w:sz w:val="28"/>
      <w:szCs w:val="28"/>
    </w:rPr>
  </w:style>
  <w:style w:type="character" w:customStyle="1" w:styleId="Heading2Char">
    <w:name w:val="Heading 2 Char"/>
    <w:basedOn w:val="DefaultParagraphFont"/>
    <w:link w:val="Heading2"/>
    <w:uiPriority w:val="9"/>
    <w:rsid w:val="00FC693F"/>
    <w:rPr>
      <w:rFonts w:ascii="EB Garamond" w:hAnsi="EB Garamond" w:eastAsia="EB Garamond" w:cs="EB Garamond"/>
      <w:b/>
      <w:bCs/>
      <w:color w:val="4F81BD"/>
      <w:sz w:val="26"/>
      <w:szCs w:val="26"/>
    </w:rPr>
  </w:style>
  <w:style w:type="character" w:customStyle="1" w:styleId="Heading3Char">
    <w:name w:val="Heading 3 Char"/>
    <w:basedOn w:val="DefaultParagraphFont"/>
    <w:link w:val="Heading3"/>
    <w:uiPriority w:val="9"/>
    <w:rsid w:val="00FC693F"/>
    <w:rPr>
      <w:rFonts w:ascii="EB Garamond" w:hAnsi="EB Garamond" w:eastAsia="EB Garamond" w:cs="EB Garamond"/>
      <w:b/>
      <w:bCs/>
      <w:color w:val="4F81BD"/>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EB Garamond" w:hAnsi="EB Garamond" w:eastAsia="EB Garamond" w:cs="EB Garamond"/>
      <w:b/>
      <w:color w:val="183445"/>
      <w:spacing w:val="5"/>
      <w:kern w:val="28"/>
      <w:sz w:val="56"/>
      <w:szCs w:val="56"/>
    </w:rPr>
  </w:style>
  <w:style w:type="character" w:customStyle="1" w:styleId="TitleChar">
    <w:name w:val="Title Char"/>
    <w:basedOn w:val="DefaultParagraphFont"/>
    <w:link w:val="Title"/>
    <w:uiPriority w:val="10"/>
    <w:rsid w:val="00FC693F"/>
    <w:rPr>
      <w:rFonts w:ascii="EB Garamond" w:hAnsi="EB Garamond" w:eastAsia="EB Garamond" w:cs="EB Garamond"/>
      <w:color w:val="17365D"/>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EB Garamond" w:hAnsi="EB Garamond" w:eastAsia="EB Garamond" w:cs="EB Garamond"/>
      <w:b w:val="0"/>
      <w:i/>
      <w:iCs/>
      <w:color w:val="5A686F"/>
      <w:spacing w:val="15"/>
      <w:sz w:val="26"/>
      <w:szCs w:val="26"/>
    </w:rPr>
  </w:style>
  <w:style w:type="character" w:customStyle="1" w:styleId="SubtitleChar">
    <w:name w:val="Subtitle Char"/>
    <w:basedOn w:val="DefaultParagraphFont"/>
    <w:link w:val="Subtitle"/>
    <w:uiPriority w:val="11"/>
    <w:rsid w:val="00FC693F"/>
    <w:rPr>
      <w:rFonts w:ascii="EB Garamond" w:hAnsi="EB Garamond" w:eastAsia="EB Garamond" w:cs="EB Garamond"/>
      <w:i/>
      <w:iCs/>
      <w:color w:val="4F81BD"/>
      <w:spacing w:val="15"/>
      <w:sz w:val="24"/>
      <w:szCs w:val="24"/>
    </w:rPr>
  </w:style>
  <w:style w:type="paragraph" w:styleId="ListParagraph">
    <w:name w:val="List Paragraph"/>
    <w:basedOn w:val="Normal"/>
    <w:uiPriority w:val="34"/>
    <w:qFormat/>
    <w:rsid w:val="00FC693F"/>
    <w:pPr>
      <w:ind w:left="720"/>
      <w:contextualSpacing/>
    </w:pPr>
    <w:rPr>
      <w:rFonts w:ascii="EB Garamond" w:hAnsi="EB Garamond" w:eastAsia="EB Garamond" w:cs="EB Garamond"/>
    </w:rPr>
  </w:style>
  <w:style w:type="paragraph" w:styleId="BodyText">
    <w:name w:val="Body Text"/>
    <w:basedOn w:val="Normal"/>
    <w:link w:val="BodyTextChar"/>
    <w:uiPriority w:val="99"/>
    <w:unhideWhenUsed/>
    <w:rsid w:val="00AA1D8D"/>
    <w:pPr>
      <w:spacing w:after="120"/>
    </w:pPr>
    <w:rPr>
      <w:rFonts w:ascii="EB Garamond" w:hAnsi="EB Garamond" w:eastAsia="EB Garamond" w:cs="EB Garamond"/>
    </w:rPr>
  </w:style>
  <w:style w:type="character" w:customStyle="1" w:styleId="BodyTextChar">
    <w:name w:val="Body Text Char"/>
    <w:basedOn w:val="DefaultParagraphFont"/>
    <w:link w:val="BodyText"/>
    <w:uiPriority w:val="99"/>
    <w:rsid w:val="00AA1D8D"/>
    <w:rPr>
      <w:rFonts w:ascii="EB Garamond" w:hAnsi="EB Garamond" w:eastAsia="EB Garamond" w:cs="EB Garamond"/>
    </w:rPr>
  </w:style>
  <w:style w:type="paragraph" w:styleId="BodyText2">
    <w:name w:val="Body Text 2"/>
    <w:basedOn w:val="Normal"/>
    <w:link w:val="BodyText2Char"/>
    <w:uiPriority w:val="99"/>
    <w:unhideWhenUsed/>
    <w:rsid w:val="00AA1D8D"/>
    <w:pPr>
      <w:spacing w:after="120" w:line="480" w:lineRule="auto"/>
    </w:pPr>
    <w:rPr>
      <w:rFonts w:ascii="EB Garamond" w:hAnsi="EB Garamond" w:eastAsia="EB Garamond" w:cs="EB Garamond"/>
    </w:rPr>
  </w:style>
  <w:style w:type="character" w:customStyle="1" w:styleId="BodyText2Char">
    <w:name w:val="Body Text 2 Char"/>
    <w:basedOn w:val="DefaultParagraphFont"/>
    <w:link w:val="BodyText2"/>
    <w:uiPriority w:val="99"/>
    <w:rsid w:val="00AA1D8D"/>
    <w:rPr>
      <w:rFonts w:ascii="EB Garamond" w:hAnsi="EB Garamond" w:eastAsia="EB Garamond" w:cs="EB Garamond"/>
    </w:rPr>
  </w:style>
  <w:style w:type="paragraph" w:styleId="BodyText3">
    <w:name w:val="Body Text 3"/>
    <w:basedOn w:val="Normal"/>
    <w:link w:val="BodyText3Char"/>
    <w:uiPriority w:val="99"/>
    <w:unhideWhenUsed/>
    <w:rsid w:val="00AA1D8D"/>
    <w:pPr>
      <w:spacing w:after="120"/>
    </w:pPr>
    <w:rPr>
      <w:sz w:val="16"/>
      <w:szCs w:val="16"/>
      <w:rFonts w:ascii="EB Garamond" w:hAnsi="EB Garamond" w:eastAsia="EB Garamond" w:cs="EB Garamond"/>
    </w:rPr>
  </w:style>
  <w:style w:type="character" w:customStyle="1" w:styleId="BodyText3Char">
    <w:name w:val="Body Text 3 Char"/>
    <w:basedOn w:val="DefaultParagraphFont"/>
    <w:link w:val="BodyText3"/>
    <w:uiPriority w:val="99"/>
    <w:rsid w:val="00AA1D8D"/>
    <w:rPr>
      <w:sz w:val="16"/>
      <w:szCs w:val="16"/>
      <w:rFonts w:ascii="EB Garamond" w:hAnsi="EB Garamond" w:eastAsia="EB Garamond" w:cs="EB Garamond"/>
    </w:rPr>
  </w:style>
  <w:style w:type="paragraph" w:styleId="List">
    <w:name w:val="List"/>
    <w:basedOn w:val="Normal"/>
    <w:uiPriority w:val="99"/>
    <w:unhideWhenUsed/>
    <w:rsid w:val="00AA1D8D"/>
    <w:pPr>
      <w:ind w:left="360" w:hanging="360"/>
      <w:contextualSpacing/>
    </w:pPr>
    <w:rPr>
      <w:rFonts w:ascii="EB Garamond" w:hAnsi="EB Garamond" w:eastAsia="EB Garamond" w:cs="EB Garamond"/>
    </w:rPr>
  </w:style>
  <w:style w:type="paragraph" w:styleId="List2">
    <w:name w:val="List 2"/>
    <w:basedOn w:val="Normal"/>
    <w:uiPriority w:val="99"/>
    <w:unhideWhenUsed/>
    <w:rsid w:val="00326F90"/>
    <w:pPr>
      <w:ind w:left="720" w:hanging="360"/>
      <w:contextualSpacing/>
    </w:pPr>
    <w:rPr>
      <w:rFonts w:ascii="EB Garamond" w:hAnsi="EB Garamond" w:eastAsia="EB Garamond" w:cs="EB Garamond"/>
    </w:rPr>
  </w:style>
  <w:style w:type="paragraph" w:styleId="List3">
    <w:name w:val="List 3"/>
    <w:basedOn w:val="Normal"/>
    <w:uiPriority w:val="99"/>
    <w:unhideWhenUsed/>
    <w:rsid w:val="00326F90"/>
    <w:pPr>
      <w:ind w:left="1080" w:hanging="360"/>
      <w:contextualSpacing/>
    </w:pPr>
    <w:rPr>
      <w:rFonts w:ascii="EB Garamond" w:hAnsi="EB Garamond" w:eastAsia="EB Garamond" w:cs="EB Garamond"/>
    </w:rPr>
  </w:style>
  <w:style w:type="paragraph" w:styleId="ListBullet">
    <w:name w:val="List Bullet"/>
    <w:basedOn w:val="Normal"/>
    <w:uiPriority w:val="99"/>
    <w:unhideWhenUsed/>
    <w:rsid w:val="00326F90"/>
    <w:pPr>
      <w:numPr>
        <w:numId w:val="1"/>
      </w:numPr>
      <w:contextualSpacing/>
    </w:pPr>
    <w:rPr>
      <w:rFonts w:ascii="EB Garamond" w:hAnsi="EB Garamond" w:eastAsia="EB Garamond" w:cs="EB Garamond"/>
    </w:rPr>
  </w:style>
  <w:style w:type="paragraph" w:styleId="ListBullet2">
    <w:name w:val="List Bullet 2"/>
    <w:basedOn w:val="Normal"/>
    <w:uiPriority w:val="99"/>
    <w:unhideWhenUsed/>
    <w:rsid w:val="00326F90"/>
    <w:pPr>
      <w:numPr>
        <w:numId w:val="2"/>
      </w:numPr>
      <w:contextualSpacing/>
    </w:pPr>
    <w:rPr>
      <w:rFonts w:ascii="EB Garamond" w:hAnsi="EB Garamond" w:eastAsia="EB Garamond" w:cs="EB Garamond"/>
    </w:rPr>
  </w:style>
  <w:style w:type="paragraph" w:styleId="ListBullet3">
    <w:name w:val="List Bullet 3"/>
    <w:basedOn w:val="Normal"/>
    <w:uiPriority w:val="99"/>
    <w:unhideWhenUsed/>
    <w:rsid w:val="00326F90"/>
    <w:pPr>
      <w:numPr>
        <w:numId w:val="3"/>
      </w:numPr>
      <w:contextualSpacing/>
    </w:pPr>
    <w:rPr>
      <w:rFonts w:ascii="EB Garamond" w:hAnsi="EB Garamond" w:eastAsia="EB Garamond" w:cs="EB Garamond"/>
    </w:rPr>
  </w:style>
  <w:style w:type="paragraph" w:styleId="ListNumber">
    <w:name w:val="List Number"/>
    <w:basedOn w:val="Normal"/>
    <w:uiPriority w:val="99"/>
    <w:unhideWhenUsed/>
    <w:rsid w:val="00326F90"/>
    <w:pPr>
      <w:numPr>
        <w:numId w:val="5"/>
      </w:numPr>
      <w:contextualSpacing/>
    </w:pPr>
    <w:rPr>
      <w:rFonts w:ascii="EB Garamond" w:hAnsi="EB Garamond" w:eastAsia="EB Garamond" w:cs="EB Garamond"/>
    </w:rPr>
  </w:style>
  <w:style w:type="paragraph" w:styleId="ListNumber2">
    <w:name w:val="List Number 2"/>
    <w:basedOn w:val="Normal"/>
    <w:uiPriority w:val="99"/>
    <w:unhideWhenUsed/>
    <w:rsid w:val="0029639D"/>
    <w:pPr>
      <w:numPr>
        <w:numId w:val="6"/>
      </w:numPr>
      <w:contextualSpacing/>
    </w:pPr>
    <w:rPr>
      <w:rFonts w:ascii="EB Garamond" w:hAnsi="EB Garamond" w:eastAsia="EB Garamond" w:cs="EB Garamond"/>
    </w:rPr>
  </w:style>
  <w:style w:type="paragraph" w:styleId="ListNumber3">
    <w:name w:val="List Number 3"/>
    <w:basedOn w:val="Normal"/>
    <w:uiPriority w:val="99"/>
    <w:unhideWhenUsed/>
    <w:rsid w:val="0029639D"/>
    <w:pPr>
      <w:numPr>
        <w:numId w:val="7"/>
      </w:numPr>
      <w:contextualSpacing/>
    </w:pPr>
    <w:rPr>
      <w:rFonts w:ascii="EB Garamond" w:hAnsi="EB Garamond" w:eastAsia="EB Garamond" w:cs="EB Garamond"/>
    </w:rPr>
  </w:style>
  <w:style w:type="paragraph" w:styleId="ListContinue">
    <w:name w:val="List Continue"/>
    <w:basedOn w:val="Normal"/>
    <w:uiPriority w:val="99"/>
    <w:unhideWhenUsed/>
    <w:rsid w:val="0029639D"/>
    <w:pPr>
      <w:spacing w:after="120"/>
      <w:ind w:left="360"/>
      <w:contextualSpacing/>
    </w:pPr>
    <w:rPr>
      <w:rFonts w:ascii="EB Garamond" w:hAnsi="EB Garamond" w:eastAsia="EB Garamond" w:cs="EB Garamond"/>
    </w:rPr>
  </w:style>
  <w:style w:type="paragraph" w:styleId="ListContinue2">
    <w:name w:val="List Continue 2"/>
    <w:basedOn w:val="Normal"/>
    <w:uiPriority w:val="99"/>
    <w:unhideWhenUsed/>
    <w:rsid w:val="0029639D"/>
    <w:pPr>
      <w:spacing w:after="120"/>
      <w:ind w:left="720"/>
      <w:contextualSpacing/>
    </w:pPr>
    <w:rPr>
      <w:rFonts w:ascii="EB Garamond" w:hAnsi="EB Garamond" w:eastAsia="EB Garamond" w:cs="EB Garamond"/>
    </w:rPr>
  </w:style>
  <w:style w:type="paragraph" w:styleId="ListContinue3">
    <w:name w:val="List Continue 3"/>
    <w:basedOn w:val="Normal"/>
    <w:uiPriority w:val="99"/>
    <w:unhideWhenUsed/>
    <w:rsid w:val="0029639D"/>
    <w:pPr>
      <w:spacing w:after="120"/>
      <w:ind w:left="1080"/>
      <w:contextualSpacing/>
    </w:pPr>
    <w:rPr>
      <w:rFonts w:ascii="EB Garamond" w:hAnsi="EB Garamond" w:eastAsia="EB Garamond" w:cs="EB Garamond"/>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EB Garamond" w:hAnsi="EB Garamond" w:eastAsia="EB Garamond" w:cs="EB Garamond"/>
      <w:sz w:val="20"/>
      <w:szCs w:val="20"/>
    </w:rPr>
  </w:style>
  <w:style w:type="character" w:customStyle="1" w:styleId="MacroTextChar">
    <w:name w:val="Macro Text Char"/>
    <w:basedOn w:val="DefaultParagraphFont"/>
    <w:link w:val="MacroText"/>
    <w:uiPriority w:val="99"/>
    <w:rsid w:val="0029639D"/>
    <w:rPr>
      <w:rFonts w:ascii="EB Garamond" w:hAnsi="EB Garamond" w:eastAsia="EB Garamond" w:cs="EB Garamond"/>
      <w:sz w:val="20"/>
      <w:szCs w:val="20"/>
    </w:rPr>
  </w:style>
  <w:style w:type="paragraph" w:styleId="Quote">
    <w:name w:val="Quote"/>
    <w:basedOn w:val="Normal"/>
    <w:next w:val="Normal"/>
    <w:link w:val="QuoteChar"/>
    <w:uiPriority w:val="29"/>
    <w:qFormat/>
    <w:rsid w:val="00FC693F"/>
    <w:rPr>
      <w:i/>
      <w:iCs/>
      <w:color w:val="000000"/>
      <w:rFonts w:ascii="EB Garamond" w:hAnsi="EB Garamond" w:eastAsia="EB Garamond" w:cs="EB Garamond"/>
    </w:rPr>
  </w:style>
  <w:style w:type="character" w:customStyle="1" w:styleId="QuoteChar">
    <w:name w:val="Quote Char"/>
    <w:basedOn w:val="DefaultParagraphFont"/>
    <w:link w:val="Quote"/>
    <w:uiPriority w:val="29"/>
    <w:rsid w:val="00FC693F"/>
    <w:rPr>
      <w:i/>
      <w:iCs/>
      <w:color w:val="000000"/>
      <w:rFonts w:ascii="EB Garamond" w:hAnsi="EB Garamond" w:eastAsia="EB Garamond" w:cs="EB Garamond"/>
    </w:rPr>
  </w:style>
  <w:style w:type="character" w:customStyle="1" w:styleId="Heading4Char">
    <w:name w:val="Heading 4 Char"/>
    <w:basedOn w:val="DefaultParagraphFont"/>
    <w:link w:val="Heading4"/>
    <w:uiPriority w:val="9"/>
    <w:semiHidden/>
    <w:rsid w:val="00FC693F"/>
    <w:rPr>
      <w:rFonts w:ascii="EB Garamond" w:hAnsi="EB Garamond" w:eastAsia="EB Garamond" w:cs="EB Garamond"/>
      <w:b/>
      <w:bCs/>
      <w:i/>
      <w:iCs/>
      <w:color w:val="4F81BD"/>
    </w:rPr>
  </w:style>
  <w:style w:type="character" w:customStyle="1" w:styleId="Heading5Char">
    <w:name w:val="Heading 5 Char"/>
    <w:basedOn w:val="DefaultParagraphFont"/>
    <w:link w:val="Heading5"/>
    <w:uiPriority w:val="9"/>
    <w:semiHidden/>
    <w:rsid w:val="00FC693F"/>
    <w:rPr>
      <w:rFonts w:ascii="EB Garamond" w:hAnsi="EB Garamond" w:eastAsia="EB Garamond" w:cs="EB Garamond"/>
      <w:color w:val="243F60"/>
    </w:rPr>
  </w:style>
  <w:style w:type="character" w:customStyle="1" w:styleId="Heading6Char">
    <w:name w:val="Heading 6 Char"/>
    <w:basedOn w:val="DefaultParagraphFont"/>
    <w:link w:val="Heading6"/>
    <w:uiPriority w:val="9"/>
    <w:semiHidden/>
    <w:rsid w:val="00FC693F"/>
    <w:rPr>
      <w:rFonts w:ascii="EB Garamond" w:hAnsi="EB Garamond" w:eastAsia="EB Garamond" w:cs="EB Garamond"/>
      <w:i/>
      <w:iCs/>
      <w:color w:val="243F60"/>
    </w:rPr>
  </w:style>
  <w:style w:type="character" w:customStyle="1" w:styleId="Heading7Char">
    <w:name w:val="Heading 7 Char"/>
    <w:basedOn w:val="DefaultParagraphFont"/>
    <w:link w:val="Heading7"/>
    <w:uiPriority w:val="9"/>
    <w:semiHidden/>
    <w:rsid w:val="00FC693F"/>
    <w:rPr>
      <w:rFonts w:ascii="EB Garamond" w:hAnsi="EB Garamond" w:eastAsia="EB Garamond" w:cs="EB Garamond"/>
      <w:i/>
      <w:iCs/>
      <w:color w:val="404040"/>
    </w:rPr>
  </w:style>
  <w:style w:type="character" w:customStyle="1" w:styleId="Heading8Char">
    <w:name w:val="Heading 8 Char"/>
    <w:basedOn w:val="DefaultParagraphFont"/>
    <w:link w:val="Heading8"/>
    <w:uiPriority w:val="9"/>
    <w:semiHidden/>
    <w:rsid w:val="00FC693F"/>
    <w:rPr>
      <w:rFonts w:ascii="EB Garamond" w:hAnsi="EB Garamond" w:eastAsia="EB Garamond" w:cs="EB Garamond"/>
      <w:color w:val="4F81BD"/>
      <w:sz w:val="20"/>
      <w:szCs w:val="20"/>
    </w:rPr>
  </w:style>
  <w:style w:type="character" w:customStyle="1" w:styleId="Heading9Char">
    <w:name w:val="Heading 9 Char"/>
    <w:basedOn w:val="DefaultParagraphFont"/>
    <w:link w:val="Heading9"/>
    <w:uiPriority w:val="9"/>
    <w:semiHidden/>
    <w:rsid w:val="00FC693F"/>
    <w:rPr>
      <w:rFonts w:ascii="EB Garamond" w:hAnsi="EB Garamond" w:eastAsia="EB Garamond" w:cs="EB Garamond"/>
      <w:i/>
      <w:iCs/>
      <w:color w:val="404040"/>
      <w:sz w:val="20"/>
      <w:szCs w:val="20"/>
    </w:rPr>
  </w:style>
  <w:style w:type="paragraph" w:styleId="Caption">
    <w:name w:val="caption"/>
    <w:basedOn w:val="Normal"/>
    <w:next w:val="Normal"/>
    <w:uiPriority w:val="35"/>
    <w:semiHidden/>
    <w:unhideWhenUsed/>
    <w:qFormat/>
    <w:rsid w:val="00FC693F"/>
    <w:pPr>
      <w:spacing w:line="240" w:lineRule="auto"/>
    </w:pPr>
    <w:rPr>
      <w:b/>
      <w:bCs/>
      <w:color w:val="4F81BD"/>
      <w:sz w:val="18"/>
      <w:szCs w:val="18"/>
      <w:rFonts w:ascii="EB Garamond" w:hAnsi="EB Garamond" w:eastAsia="EB Garamond" w:cs="EB Garamond"/>
    </w:rPr>
  </w:style>
  <w:style w:type="character" w:styleId="Strong">
    <w:name w:val="Strong"/>
    <w:basedOn w:val="DefaultParagraphFont"/>
    <w:uiPriority w:val="22"/>
    <w:qFormat/>
    <w:rsid w:val="00FC693F"/>
    <w:rPr>
      <w:b/>
      <w:bCs/>
      <w:rFonts w:ascii="EB Garamond" w:hAnsi="EB Garamond" w:eastAsia="EB Garamond" w:cs="EB Garamond"/>
    </w:rPr>
  </w:style>
  <w:style w:type="character" w:styleId="Emphasis">
    <w:name w:val="Emphasis"/>
    <w:basedOn w:val="DefaultParagraphFont"/>
    <w:uiPriority w:val="20"/>
    <w:qFormat/>
    <w:rsid w:val="00FC693F"/>
    <w:rPr>
      <w:i/>
      <w:iCs/>
      <w:rFonts w:ascii="EB Garamond" w:hAnsi="EB Garamond" w:eastAsia="EB Garamond" w:cs="EB Garamond"/>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rFonts w:ascii="EB Garamond" w:hAnsi="EB Garamond" w:eastAsia="EB Garamond" w:cs="EB Garamond"/>
    </w:rPr>
  </w:style>
  <w:style w:type="character" w:customStyle="1" w:styleId="IntenseQuoteChar">
    <w:name w:val="Intense Quote Char"/>
    <w:basedOn w:val="DefaultParagraphFont"/>
    <w:link w:val="IntenseQuote"/>
    <w:uiPriority w:val="30"/>
    <w:rsid w:val="00FC693F"/>
    <w:rPr>
      <w:b/>
      <w:bCs/>
      <w:i/>
      <w:iCs/>
      <w:color w:val="4F81BD"/>
      <w:rFonts w:ascii="EB Garamond" w:hAnsi="EB Garamond" w:eastAsia="EB Garamond" w:cs="EB Garamond"/>
    </w:rPr>
  </w:style>
  <w:style w:type="character" w:styleId="SubtleEmphasis">
    <w:name w:val="Subtle Emphasis"/>
    <w:basedOn w:val="DefaultParagraphFont"/>
    <w:uiPriority w:val="19"/>
    <w:qFormat/>
    <w:rsid w:val="00FC693F"/>
    <w:rPr>
      <w:i/>
      <w:iCs/>
      <w:color w:val="808080"/>
      <w:rFonts w:ascii="EB Garamond" w:hAnsi="EB Garamond" w:eastAsia="EB Garamond" w:cs="EB Garamond"/>
    </w:rPr>
  </w:style>
  <w:style w:type="character" w:styleId="IntenseEmphasis">
    <w:name w:val="Intense Emphasis"/>
    <w:basedOn w:val="DefaultParagraphFont"/>
    <w:uiPriority w:val="21"/>
    <w:qFormat/>
    <w:rsid w:val="00FC693F"/>
    <w:rPr>
      <w:b/>
      <w:bCs/>
      <w:i/>
      <w:iCs/>
      <w:color w:val="4F81BD"/>
      <w:rFonts w:ascii="EB Garamond" w:hAnsi="EB Garamond" w:eastAsia="EB Garamond" w:cs="EB Garamond"/>
    </w:rPr>
  </w:style>
  <w:style w:type="character" w:styleId="SubtleReference">
    <w:name w:val="Subtle Reference"/>
    <w:basedOn w:val="DefaultParagraphFont"/>
    <w:uiPriority w:val="31"/>
    <w:qFormat/>
    <w:rsid w:val="00FC693F"/>
    <w:rPr>
      <w:smallCaps/>
      <w:color w:val="C0504D"/>
      <w:u w:val="single"/>
      <w:rFonts w:ascii="EB Garamond" w:hAnsi="EB Garamond" w:eastAsia="EB Garamond" w:cs="EB Garamond"/>
    </w:rPr>
  </w:style>
  <w:style w:type="character" w:styleId="IntenseReference">
    <w:name w:val="Intense Reference"/>
    <w:basedOn w:val="DefaultParagraphFont"/>
    <w:uiPriority w:val="32"/>
    <w:qFormat/>
    <w:rsid w:val="00FC693F"/>
    <w:rPr>
      <w:b/>
      <w:bCs/>
      <w:smallCaps/>
      <w:color w:val="C0504D"/>
      <w:spacing w:val="5"/>
      <w:u w:val="single"/>
      <w:rFonts w:ascii="EB Garamond" w:hAnsi="EB Garamond" w:eastAsia="EB Garamond" w:cs="EB Garamond"/>
    </w:rPr>
  </w:style>
  <w:style w:type="character" w:styleId="BookTitle">
    <w:name w:val="Book Title"/>
    <w:basedOn w:val="DefaultParagraphFont"/>
    <w:uiPriority w:val="33"/>
    <w:qFormat/>
    <w:rsid w:val="00FC693F"/>
    <w:rPr>
      <w:b/>
      <w:bCs/>
      <w:smallCaps/>
      <w:spacing w:val="5"/>
      <w:rFonts w:ascii="EB Garamond" w:hAnsi="EB Garamond" w:eastAsia="EB Garamond" w:cs="EB Garamond"/>
    </w:rPr>
  </w:style>
  <w:style w:type="paragraph" w:styleId="TOCHeading">
    <w:name w:val="TOC Heading"/>
    <w:basedOn w:val="Heading1"/>
    <w:next w:val="Normal"/>
    <w:uiPriority w:val="39"/>
    <w:semiHidden/>
    <w:unhideWhenUsed/>
    <w:qFormat/>
    <w:rsid w:val="00FC693F"/>
    <w:pPr>
      <w:outlineLvl w:val="9"/>
    </w:pPr>
    <w:rPr>
      <w:rFonts w:ascii="EB Garamond" w:hAnsi="EB Garamond" w:eastAsia="EB Garamond" w:cs="EB Garamond"/>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rPr>
      <w:rFonts w:ascii="EB Garamond" w:hAnsi="EB Garamond" w:eastAsia="EB Garamond" w:cs="EB Garamond"/>
    </w:rPr>
  </w:style>
  <w:style w:type="table" w:styleId="LightShading">
    <w:name w:val="Light Shading"/>
    <w:basedOn w:val="TableNormal"/>
    <w:uiPriority w:val="60"/>
    <w:rsid w:val="00FC693F"/>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rFonts w:ascii="EB Garamond" w:hAnsi="EB Garamond" w:eastAsia="EB Garamond" w:cs="EB Garamond"/>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rFonts w:ascii="EB Garamond" w:hAnsi="EB Garamond" w:eastAsia="EB Garamond" w:cs="EB Garamond"/>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rFonts w:ascii="EB Garamond" w:hAnsi="EB Garamond" w:eastAsia="EB Garamond" w:cs="EB Garamond"/>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rFonts w:ascii="EB Garamond" w:hAnsi="EB Garamond" w:eastAsia="EB Garamond" w:cs="EB Garamond"/>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rFonts w:ascii="EB Garamond" w:hAnsi="EB Garamond" w:eastAsia="EB Garamond" w:cs="EB Garamond"/>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rFonts w:ascii="EB Garamond" w:hAnsi="EB Garamond" w:eastAsia="EB Garamond" w:cs="EB Garamond"/>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rPr>
      <w:rFonts w:ascii="EB Garamond" w:hAnsi="EB Garamond" w:eastAsia="EB Garamond" w:cs="EB Garamond"/>
    </w:r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rPr>
      <w:rFonts w:ascii="EB Garamond" w:hAnsi="EB Garamond" w:eastAsia="EB Garamond" w:cs="EB Garamond"/>
    </w:r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rPr>
      <w:rFonts w:ascii="EB Garamond" w:hAnsi="EB Garamond" w:eastAsia="EB Garamond" w:cs="EB Garamond"/>
    </w:r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rPr>
      <w:rFonts w:ascii="EB Garamond" w:hAnsi="EB Garamond" w:eastAsia="EB Garamond" w:cs="EB Garamond"/>
    </w:r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rPr>
      <w:rFonts w:ascii="EB Garamond" w:hAnsi="EB Garamond" w:eastAsia="EB Garamond" w:cs="EB Garamond"/>
    </w:r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rPr>
      <w:rFonts w:ascii="EB Garamond" w:hAnsi="EB Garamond" w:eastAsia="EB Garamond" w:cs="EB Garamond"/>
    </w:r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rPr>
      <w:rFonts w:ascii="EB Garamond" w:hAnsi="EB Garamond" w:eastAsia="EB Garamond" w:cs="EB Garamond"/>
    </w:r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EB Garamond" w:hAnsi="EB Garamond" w:eastAsia="EB Garamond" w:cs="EB Garamond"/>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rPr>
      <w:rFonts w:ascii="EB Garamond" w:hAnsi="EB Garamond" w:eastAsia="EB Garamond" w:cs="EB Garamond"/>
    </w:r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EB Garamond" w:hAnsi="EB Garamond" w:eastAsia="EB Garamond" w:cs="EB Garamond"/>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rPr>
      <w:rFonts w:ascii="EB Garamond" w:hAnsi="EB Garamond" w:eastAsia="EB Garamond" w:cs="EB Garamond"/>
    </w:r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EB Garamond" w:hAnsi="EB Garamond" w:eastAsia="EB Garamond" w:cs="EB Garamond"/>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rPr>
      <w:rFonts w:ascii="EB Garamond" w:hAnsi="EB Garamond" w:eastAsia="EB Garamond" w:cs="EB Garamond"/>
    </w:r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EB Garamond" w:hAnsi="EB Garamond" w:eastAsia="EB Garamond" w:cs="EB Garamond"/>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rPr>
      <w:rFonts w:ascii="EB Garamond" w:hAnsi="EB Garamond" w:eastAsia="EB Garamond" w:cs="EB Garamond"/>
    </w:r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EB Garamond" w:hAnsi="EB Garamond" w:eastAsia="EB Garamond" w:cs="EB Garamond"/>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rPr>
      <w:rFonts w:ascii="EB Garamond" w:hAnsi="EB Garamond" w:eastAsia="EB Garamond" w:cs="EB Garamond"/>
    </w:r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EB Garamond" w:hAnsi="EB Garamond" w:eastAsia="EB Garamond" w:cs="EB Garamond"/>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rPr>
      <w:rFonts w:ascii="EB Garamond" w:hAnsi="EB Garamond" w:eastAsia="EB Garamond" w:cs="EB Garamond"/>
    </w:r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EB Garamond" w:hAnsi="EB Garamond" w:eastAsia="EB Garamond" w:cs="EB Garamond"/>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rPr>
      <w:rFonts w:ascii="EB Garamond" w:hAnsi="EB Garamond" w:eastAsia="EB Garamond" w:cs="EB Garamond"/>
    </w:r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rPr>
      <w:rFonts w:ascii="EB Garamond" w:hAnsi="EB Garamond" w:eastAsia="EB Garamond" w:cs="EB Garamond"/>
    </w:r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rPr>
      <w:rFonts w:ascii="EB Garamond" w:hAnsi="EB Garamond" w:eastAsia="EB Garamond" w:cs="EB Garamond"/>
    </w:rPr>
  </w:style>
  <w:style w:type="table" w:styleId="MediumList1">
    <w:name w:val="Medium List 1"/>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000000" w:themeColor="text1"/>
        </w:tcBorders>
      </w:tcPr>
    </w:tblStylePr>
    <w:tblStylePr w:type="lastRow">
      <w:rPr>
        <w:b/>
        <w:bCs/>
        <w:color w:val="1F497D"/>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F81BD" w:themeColor="accent1"/>
        </w:tcBorders>
      </w:tcPr>
    </w:tblStylePr>
    <w:tblStylePr w:type="lastRow">
      <w:rPr>
        <w:b/>
        <w:bCs/>
        <w:color w:val="1F497D"/>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C0504D" w:themeColor="accent2"/>
        </w:tcBorders>
      </w:tcPr>
    </w:tblStylePr>
    <w:tblStylePr w:type="lastRow">
      <w:rPr>
        <w:b/>
        <w:bCs/>
        <w:color w:val="1F497D"/>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9BBB59" w:themeColor="accent3"/>
        </w:tcBorders>
      </w:tcPr>
    </w:tblStylePr>
    <w:tblStylePr w:type="lastRow">
      <w:rPr>
        <w:b/>
        <w:bCs/>
        <w:color w:val="1F497D"/>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8064A2" w:themeColor="accent4"/>
        </w:tcBorders>
      </w:tcPr>
    </w:tblStylePr>
    <w:tblStylePr w:type="lastRow">
      <w:rPr>
        <w:b/>
        <w:bCs/>
        <w:color w:val="1F497D"/>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BACC6" w:themeColor="accent5"/>
        </w:tcBorders>
      </w:tcPr>
    </w:tblStylePr>
    <w:tblStylePr w:type="lastRow">
      <w:rPr>
        <w:b/>
        <w:bCs/>
        <w:color w:val="1F497D"/>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F79646" w:themeColor="accent6"/>
        </w:tcBorders>
      </w:tcPr>
    </w:tblStylePr>
    <w:tblStylePr w:type="lastRow">
      <w:rPr>
        <w:b/>
        <w:bCs/>
        <w:color w:val="1F497D"/>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rPr>
      <w:rFonts w:ascii="EB Garamond" w:hAnsi="EB Garamond" w:eastAsia="EB Garamond" w:cs="EB Garamond"/>
    </w:r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rPr>
      <w:rFonts w:ascii="EB Garamond" w:hAnsi="EB Garamond" w:eastAsia="EB Garamond" w:cs="EB Garamond"/>
    </w:r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rPr>
      <w:rFonts w:ascii="EB Garamond" w:hAnsi="EB Garamond" w:eastAsia="EB Garamond" w:cs="EB Garamond"/>
    </w:r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rPr>
      <w:rFonts w:ascii="EB Garamond" w:hAnsi="EB Garamond" w:eastAsia="EB Garamond" w:cs="EB Garamond"/>
    </w:r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rPr>
      <w:rFonts w:ascii="EB Garamond" w:hAnsi="EB Garamond" w:eastAsia="EB Garamond" w:cs="EB Garamond"/>
    </w:r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rPr>
      <w:rFonts w:ascii="EB Garamond" w:hAnsi="EB Garamond" w:eastAsia="EB Garamond" w:cs="EB Garamond"/>
    </w:r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rPr>
      <w:rFonts w:ascii="EB Garamond" w:hAnsi="EB Garamond" w:eastAsia="EB Garamond" w:cs="EB Garamond"/>
    </w:rPr>
  </w:style>
  <w:style w:type="table" w:styleId="MediumGrid2">
    <w:name w:val="Medium Grid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rPr>
      <w:tblPr/>
      <w:tcPr>
        <w:shd w:val="clear" w:color="auto" w:fill="E6E6E6" w:themeFill="tex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rPr>
      <w:tblPr/>
      <w:tcPr>
        <w:shd w:val="clear" w:color="auto" w:fill="EDF2F8" w:themeFill="accen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rPr>
      <w:tblPr/>
      <w:tcPr>
        <w:shd w:val="clear" w:color="auto" w:fill="F8EDED" w:themeFill="accent2"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rPr>
      <w:tblPr/>
      <w:tcPr>
        <w:shd w:val="clear" w:color="auto" w:fill="F5F8EE" w:themeFill="accent3"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rPr>
      <w:tblPr/>
      <w:tcPr>
        <w:shd w:val="clear" w:color="auto" w:fill="F2EFF6" w:themeFill="accent4"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rPr>
      <w:tblPr/>
      <w:tcPr>
        <w:shd w:val="clear" w:color="auto" w:fill="EDF6F9" w:themeFill="accent5"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rPr>
      <w:tblPr/>
      <w:tcPr>
        <w:shd w:val="clear" w:color="auto" w:fill="FEF4EC" w:themeFill="accent6"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rPr>
      <w:rFonts w:ascii="EB Garamond" w:hAnsi="EB Garamond" w:eastAsia="EB Garamond" w:cs="EB Garamond"/>
    </w:r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rPr>
      <w:rFonts w:ascii="EB Garamond" w:hAnsi="EB Garamond" w:eastAsia="EB Garamond" w:cs="EB Garamond"/>
    </w:r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rPr>
      <w:rFonts w:ascii="EB Garamond" w:hAnsi="EB Garamond" w:eastAsia="EB Garamond" w:cs="EB Garamond"/>
    </w:r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rPr>
      <w:rFonts w:ascii="EB Garamond" w:hAnsi="EB Garamond" w:eastAsia="EB Garamond" w:cs="EB Garamond"/>
    </w:r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rPr>
      <w:rFonts w:ascii="EB Garamond" w:hAnsi="EB Garamond" w:eastAsia="EB Garamond" w:cs="EB Garamond"/>
    </w:r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rPr>
      <w:rFonts w:ascii="EB Garamond" w:hAnsi="EB Garamond" w:eastAsia="EB Garamond" w:cs="EB Garamond"/>
    </w:r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rPr>
      <w:rFonts w:ascii="EB Garamond" w:hAnsi="EB Garamond" w:eastAsia="EB Garamond" w:cs="EB Garamond"/>
    </w:rPr>
  </w:style>
  <w:style w:type="table" w:styleId="DarkList">
    <w:name w:val="Dark List"/>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000000" w:themeFill="text1" w:themeFillShade="99"/>
      </w:tcPr>
    </w:tblStylePr>
    <w:tblStylePr w:type="firstCol">
      <w:rPr>
        <w:color w:val="FFFFFF"/>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C4C74" w:themeFill="accent1" w:themeFillShade="99"/>
      </w:tcPr>
    </w:tblStylePr>
    <w:tblStylePr w:type="firstCol">
      <w:rPr>
        <w:color w:val="FFFFFF"/>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772C2A" w:themeFill="accent2" w:themeFillShade="99"/>
      </w:tcPr>
    </w:tblStylePr>
    <w:tblStylePr w:type="firstCol">
      <w:rPr>
        <w:color w:val="FFFFFF"/>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5E7530" w:themeFill="accent3" w:themeFillShade="99"/>
      </w:tcPr>
    </w:tblStylePr>
    <w:tblStylePr w:type="firstCol">
      <w:rPr>
        <w:color w:val="FFFFFF"/>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4C3B62" w:themeFill="accent4" w:themeFillShade="99"/>
      </w:tcPr>
    </w:tblStylePr>
    <w:tblStylePr w:type="firstCol">
      <w:rPr>
        <w:color w:val="FFFFFF"/>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76A7C" w:themeFill="accent5" w:themeFillShade="99"/>
      </w:tcPr>
    </w:tblStylePr>
    <w:tblStylePr w:type="firstCol">
      <w:rPr>
        <w:color w:val="FFFFFF"/>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B0664"/>
    <w:pPr>
      <w:spacing w:after="0" w:line="240" w:lineRule="auto"/>
    </w:pPr>
    <w:rPr>
      <w:color w:val="000000"/>
      <w:rFonts w:ascii="EB Garamond" w:hAnsi="EB Garamond" w:eastAsia="EB Garamond" w:cs="EB Garamond"/>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B65608" w:themeFill="accent6" w:themeFillShade="99"/>
      </w:tcPr>
    </w:tblStylePr>
    <w:tblStylePr w:type="firstCol">
      <w:rPr>
        <w:color w:val="FFFFFF"/>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rPr>
    </w:tblStylePr>
    <w:tblStylePr w:type="nwCell">
      <w:rPr>
        <w:color w:val="000000"/>
      </w:rPr>
    </w:tblStylePr>
  </w:style>
  <w:style w:type="table" w:styleId="ColorfulList">
    <w:name w:val="Colorful List"/>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rPr>
      <w:tblPr/>
      <w:tcPr>
        <w:tcBorders>
          <w:bottom w:val="single" w:sz="12" w:space="0" w:color="FFFFFF" w:themeColor="background1"/>
        </w:tcBorders>
        <w:shd w:val="clear" w:color="auto" w:fill="664E82" w:themeFill="accent4" w:themeFillShade="CC"/>
      </w:tcPr>
    </w:tblStylePr>
    <w:tblStylePr w:type="lastRow">
      <w:rPr>
        <w:b/>
        <w:bCs/>
        <w:color w:val="664E82"/>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rPr>
      <w:tblPr/>
      <w:tcPr>
        <w:tcBorders>
          <w:bottom w:val="single" w:sz="12" w:space="0" w:color="FFFFFF" w:themeColor="background1"/>
        </w:tcBorders>
        <w:shd w:val="clear" w:color="auto" w:fill="7E9C40" w:themeFill="accent3" w:themeFillShade="CC"/>
      </w:tcPr>
    </w:tblStylePr>
    <w:tblStylePr w:type="lastRow">
      <w:rPr>
        <w:b/>
        <w:bCs/>
        <w:color w:val="7E9C40"/>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rPr>
      <w:tblPr/>
      <w:tcPr>
        <w:tcBorders>
          <w:bottom w:val="single" w:sz="12" w:space="0" w:color="FFFFFF" w:themeColor="background1"/>
        </w:tcBorders>
        <w:shd w:val="clear" w:color="auto" w:fill="F2730A" w:themeFill="accent6" w:themeFillShade="CC"/>
      </w:tcPr>
    </w:tblStylePr>
    <w:tblStylePr w:type="lastRow">
      <w:rPr>
        <w:b/>
        <w:bCs/>
        <w:color w:val="F2730A"/>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rFonts w:ascii="EB Garamond" w:hAnsi="EB Garamond" w:eastAsia="EB Garamond" w:cs="EB Garamond"/>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rPr>
      <w:tblPr/>
      <w:tcPr>
        <w:tcBorders>
          <w:bottom w:val="single" w:sz="12" w:space="0" w:color="FFFFFF" w:themeColor="background1"/>
        </w:tcBorders>
        <w:shd w:val="clear" w:color="auto" w:fill="348DA5" w:themeFill="accent5" w:themeFillShade="CC"/>
      </w:tcPr>
    </w:tblStylePr>
    <w:tblStylePr w:type="lastRow">
      <w:rPr>
        <w:b/>
        <w:bCs/>
        <w:color w:val="348DA5"/>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rPr>
      <w:tblPr/>
      <w:tcPr>
        <w:shd w:val="clear" w:color="auto" w:fill="999999" w:themeFill="text1" w:themeFillTint="66"/>
      </w:tcPr>
    </w:tblStylePr>
    <w:tblStylePr w:type="firstCol">
      <w:rPr>
        <w:color w:val="FFFFFF"/>
      </w:rPr>
      <w:tblPr/>
      <w:tcPr>
        <w:shd w:val="clear" w:color="auto" w:fill="000000" w:themeFill="text1" w:themeFillShade="BF"/>
      </w:tcPr>
    </w:tblStylePr>
    <w:tblStylePr w:type="lastCol">
      <w:rPr>
        <w:color w:val="FFFFFF"/>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rPr>
      <w:tblPr/>
      <w:tcPr>
        <w:shd w:val="clear" w:color="auto" w:fill="B8CCE4" w:themeFill="accent1" w:themeFillTint="66"/>
      </w:tcPr>
    </w:tblStylePr>
    <w:tblStylePr w:type="firstCol">
      <w:rPr>
        <w:color w:val="FFFFFF"/>
      </w:rPr>
      <w:tblPr/>
      <w:tcPr>
        <w:shd w:val="clear" w:color="auto" w:fill="365F91" w:themeFill="accent1" w:themeFillShade="BF"/>
      </w:tcPr>
    </w:tblStylePr>
    <w:tblStylePr w:type="lastCol">
      <w:rPr>
        <w:color w:val="FFFFFF"/>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rPr>
      <w:tblPr/>
      <w:tcPr>
        <w:shd w:val="clear" w:color="auto" w:fill="E5B8B7" w:themeFill="accent2" w:themeFillTint="66"/>
      </w:tcPr>
    </w:tblStylePr>
    <w:tblStylePr w:type="firstCol">
      <w:rPr>
        <w:color w:val="FFFFFF"/>
      </w:rPr>
      <w:tblPr/>
      <w:tcPr>
        <w:shd w:val="clear" w:color="auto" w:fill="943634" w:themeFill="accent2" w:themeFillShade="BF"/>
      </w:tcPr>
    </w:tblStylePr>
    <w:tblStylePr w:type="lastCol">
      <w:rPr>
        <w:color w:val="FFFFFF"/>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rPr>
      <w:tblPr/>
      <w:tcPr>
        <w:shd w:val="clear" w:color="auto" w:fill="D6E3BC" w:themeFill="accent3" w:themeFillTint="66"/>
      </w:tcPr>
    </w:tblStylePr>
    <w:tblStylePr w:type="firstCol">
      <w:rPr>
        <w:color w:val="FFFFFF"/>
      </w:rPr>
      <w:tblPr/>
      <w:tcPr>
        <w:shd w:val="clear" w:color="auto" w:fill="76923C" w:themeFill="accent3" w:themeFillShade="BF"/>
      </w:tcPr>
    </w:tblStylePr>
    <w:tblStylePr w:type="lastCol">
      <w:rPr>
        <w:color w:val="FFFFFF"/>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rPr>
      <w:tblPr/>
      <w:tcPr>
        <w:shd w:val="clear" w:color="auto" w:fill="CCC0D9" w:themeFill="accent4" w:themeFillTint="66"/>
      </w:tcPr>
    </w:tblStylePr>
    <w:tblStylePr w:type="firstCol">
      <w:rPr>
        <w:color w:val="FFFFFF"/>
      </w:rPr>
      <w:tblPr/>
      <w:tcPr>
        <w:shd w:val="clear" w:color="auto" w:fill="5F497A" w:themeFill="accent4" w:themeFillShade="BF"/>
      </w:tcPr>
    </w:tblStylePr>
    <w:tblStylePr w:type="lastCol">
      <w:rPr>
        <w:color w:val="FFFFFF"/>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rPr>
      <w:tblPr/>
      <w:tcPr>
        <w:shd w:val="clear" w:color="auto" w:fill="B6DDE8" w:themeFill="accent5" w:themeFillTint="66"/>
      </w:tcPr>
    </w:tblStylePr>
    <w:tblStylePr w:type="firstCol">
      <w:rPr>
        <w:color w:val="FFFFFF"/>
      </w:rPr>
      <w:tblPr/>
      <w:tcPr>
        <w:shd w:val="clear" w:color="auto" w:fill="31849B" w:themeFill="accent5" w:themeFillShade="BF"/>
      </w:tcPr>
    </w:tblStylePr>
    <w:tblStylePr w:type="lastCol">
      <w:rPr>
        <w:color w:val="FFFFFF"/>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rFonts w:ascii="EB Garamond" w:hAnsi="EB Garamond" w:eastAsia="EB Garamond" w:cs="EB Garamond"/>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rPr>
      <w:tblPr/>
      <w:tcPr>
        <w:shd w:val="clear" w:color="auto" w:fill="FBD4B4" w:themeFill="accent6" w:themeFillTint="66"/>
      </w:tcPr>
    </w:tblStylePr>
    <w:tblStylePr w:type="firstCol">
      <w:rPr>
        <w:color w:val="FFFFFF"/>
      </w:rPr>
      <w:tblPr/>
      <w:tcPr>
        <w:shd w:val="clear" w:color="auto" w:fill="E36C0A" w:themeFill="accent6" w:themeFillShade="BF"/>
      </w:tcPr>
    </w:tblStylePr>
    <w:tblStylePr w:type="lastCol">
      <w:rPr>
        <w:color w:val="FFFFFF"/>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EB Garamond" w:hAnsi="EB Garamond" w:eastAsia="EB Garamond" w:cs="EB Garamond"/>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EB Garamond" w:hAnsi="EB Garamond" w:eastAsia="EB Garamond" w:cs="EB Garamond"/>
      <w:b/>
      <w:bCs/>
      <w:color w:val="365F91"/>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EB Garamond" w:hAnsi="EB Garamond" w:eastAsia="EB Garamond" w:cs="EB Garamond"/>
      <w:b/>
      <w:bCs/>
      <w:color w:val="4F81BD"/>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EB Garamond" w:hAnsi="EB Garamond" w:eastAsia="EB Garamond" w:cs="EB Garamond"/>
      <w:b/>
      <w:bCs/>
      <w:color w:val="4F81BD"/>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EB Garamond" w:hAnsi="EB Garamond" w:eastAsia="EB Garamond" w:cs="EB Garamond"/>
      <w:b/>
      <w:bCs/>
      <w:i/>
      <w:iCs/>
      <w:color w:val="4F81BD"/>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EB Garamond" w:hAnsi="EB Garamond" w:eastAsia="EB Garamond" w:cs="EB Garamond"/>
      <w:color w:val="243F6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EB Garamond" w:hAnsi="EB Garamond" w:eastAsia="EB Garamond" w:cs="EB Garamond"/>
      <w:i/>
      <w:iCs/>
      <w:color w:val="243F6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EB Garamond" w:hAnsi="EB Garamond" w:eastAsia="EB Garamond" w:cs="EB Garamond"/>
      <w:i/>
      <w:iCs/>
      <w:color w:val="404040"/>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EB Garamond" w:hAnsi="EB Garamond" w:eastAsia="EB Garamond" w:cs="EB Garamond"/>
      <w:color w:val="4F81BD"/>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EB Garamond" w:hAnsi="EB Garamond" w:eastAsia="EB Garamond" w:cs="EB Garamond"/>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EB Garamond" w:hAnsi="EB Garamond" w:eastAsia="EB Garamond" w:cs="EB Garamond"/>
      <w:b/>
      <w:bCs/>
      <w:color w:val="365F91"/>
      <w:sz w:val="28"/>
      <w:szCs w:val="28"/>
    </w:rPr>
  </w:style>
  <w:style w:type="character" w:customStyle="1" w:styleId="Heading2Char">
    <w:name w:val="Heading 2 Char"/>
    <w:basedOn w:val="DefaultParagraphFont"/>
    <w:link w:val="Heading2"/>
    <w:uiPriority w:val="9"/>
    <w:rsid w:val="00FC693F"/>
    <w:rPr>
      <w:rFonts w:ascii="EB Garamond" w:hAnsi="EB Garamond" w:eastAsia="EB Garamond" w:cs="EB Garamond"/>
      <w:b/>
      <w:bCs/>
      <w:color w:val="4F81BD"/>
      <w:sz w:val="26"/>
      <w:szCs w:val="26"/>
    </w:rPr>
  </w:style>
  <w:style w:type="character" w:customStyle="1" w:styleId="Heading3Char">
    <w:name w:val="Heading 3 Char"/>
    <w:basedOn w:val="DefaultParagraphFont"/>
    <w:link w:val="Heading3"/>
    <w:uiPriority w:val="9"/>
    <w:rsid w:val="00FC693F"/>
    <w:rPr>
      <w:rFonts w:ascii="EB Garamond" w:hAnsi="EB Garamond" w:eastAsia="EB Garamond" w:cs="EB Garamond"/>
      <w:b/>
      <w:bCs/>
      <w:color w:val="4F81BD"/>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EB Garamond" w:hAnsi="EB Garamond" w:eastAsia="EB Garamond" w:cs="EB Garamond"/>
      <w:color w:val="17365D"/>
      <w:spacing w:val="5"/>
      <w:kern w:val="28"/>
      <w:sz w:val="52"/>
      <w:szCs w:val="52"/>
    </w:rPr>
  </w:style>
  <w:style w:type="character" w:customStyle="1" w:styleId="TitleChar">
    <w:name w:val="Title Char"/>
    <w:basedOn w:val="DefaultParagraphFont"/>
    <w:link w:val="Title"/>
    <w:uiPriority w:val="10"/>
    <w:rsid w:val="00FC693F"/>
    <w:rPr>
      <w:rFonts w:ascii="EB Garamond" w:hAnsi="EB Garamond" w:eastAsia="EB Garamond" w:cs="EB Garamond"/>
      <w:color w:val="17365D"/>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EB Garamond" w:hAnsi="EB Garamond" w:eastAsia="EB Garamond" w:cs="EB Garamond"/>
      <w:i/>
      <w:iCs/>
      <w:color w:val="4F81BD"/>
      <w:spacing w:val="15"/>
      <w:sz w:val="24"/>
      <w:szCs w:val="24"/>
    </w:rPr>
  </w:style>
  <w:style w:type="character" w:customStyle="1" w:styleId="SubtitleChar">
    <w:name w:val="Subtitle Char"/>
    <w:basedOn w:val="DefaultParagraphFont"/>
    <w:link w:val="Subtitle"/>
    <w:uiPriority w:val="11"/>
    <w:rsid w:val="00FC693F"/>
    <w:rPr>
      <w:rFonts w:ascii="EB Garamond" w:hAnsi="EB Garamond" w:eastAsia="EB Garamond" w:cs="EB Garamond"/>
      <w:i/>
      <w:iCs/>
      <w:color w:val="4F81BD"/>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EB Garamond" w:hAnsi="EB Garamond" w:eastAsia="EB Garamond" w:cs="EB Garamond"/>
      <w:sz w:val="20"/>
      <w:szCs w:val="20"/>
    </w:rPr>
  </w:style>
  <w:style w:type="character" w:customStyle="1" w:styleId="MacroTextChar">
    <w:name w:val="Macro Text Char"/>
    <w:basedOn w:val="DefaultParagraphFont"/>
    <w:link w:val="MacroText"/>
    <w:uiPriority w:val="99"/>
    <w:rsid w:val="0029639D"/>
    <w:rPr>
      <w:rFonts w:ascii="EB Garamond" w:hAnsi="EB Garamond" w:eastAsia="EB Garamond" w:cs="EB Garamond"/>
      <w:sz w:val="20"/>
      <w:szCs w:val="20"/>
    </w:rPr>
  </w:style>
  <w:style w:type="paragraph" w:styleId="Quote">
    <w:name w:val="Quote"/>
    <w:basedOn w:val="Normal"/>
    <w:next w:val="Normal"/>
    <w:link w:val="QuoteChar"/>
    <w:uiPriority w:val="29"/>
    <w:qFormat/>
    <w:rsid w:val="00FC693F"/>
    <w:rPr>
      <w:i/>
      <w:iCs/>
      <w:color w:val="000000"/>
    </w:rPr>
  </w:style>
  <w:style w:type="character" w:customStyle="1" w:styleId="QuoteChar">
    <w:name w:val="Quote Char"/>
    <w:basedOn w:val="DefaultParagraphFont"/>
    <w:link w:val="Quote"/>
    <w:uiPriority w:val="29"/>
    <w:rsid w:val="00FC693F"/>
    <w:rPr>
      <w:i/>
      <w:iCs/>
      <w:color w:val="000000"/>
    </w:rPr>
  </w:style>
  <w:style w:type="character" w:customStyle="1" w:styleId="Heading4Char">
    <w:name w:val="Heading 4 Char"/>
    <w:basedOn w:val="DefaultParagraphFont"/>
    <w:link w:val="Heading4"/>
    <w:uiPriority w:val="9"/>
    <w:semiHidden/>
    <w:rsid w:val="00FC693F"/>
    <w:rPr>
      <w:rFonts w:ascii="EB Garamond" w:hAnsi="EB Garamond" w:eastAsia="EB Garamond" w:cs="EB Garamond"/>
      <w:b/>
      <w:bCs/>
      <w:i/>
      <w:iCs/>
      <w:color w:val="4F81BD"/>
    </w:rPr>
  </w:style>
  <w:style w:type="character" w:customStyle="1" w:styleId="Heading5Char">
    <w:name w:val="Heading 5 Char"/>
    <w:basedOn w:val="DefaultParagraphFont"/>
    <w:link w:val="Heading5"/>
    <w:uiPriority w:val="9"/>
    <w:semiHidden/>
    <w:rsid w:val="00FC693F"/>
    <w:rPr>
      <w:rFonts w:ascii="EB Garamond" w:hAnsi="EB Garamond" w:eastAsia="EB Garamond" w:cs="EB Garamond"/>
      <w:color w:val="243F60"/>
    </w:rPr>
  </w:style>
  <w:style w:type="character" w:customStyle="1" w:styleId="Heading6Char">
    <w:name w:val="Heading 6 Char"/>
    <w:basedOn w:val="DefaultParagraphFont"/>
    <w:link w:val="Heading6"/>
    <w:uiPriority w:val="9"/>
    <w:semiHidden/>
    <w:rsid w:val="00FC693F"/>
    <w:rPr>
      <w:rFonts w:ascii="EB Garamond" w:hAnsi="EB Garamond" w:eastAsia="EB Garamond" w:cs="EB Garamond"/>
      <w:i/>
      <w:iCs/>
      <w:color w:val="243F60"/>
    </w:rPr>
  </w:style>
  <w:style w:type="character" w:customStyle="1" w:styleId="Heading7Char">
    <w:name w:val="Heading 7 Char"/>
    <w:basedOn w:val="DefaultParagraphFont"/>
    <w:link w:val="Heading7"/>
    <w:uiPriority w:val="9"/>
    <w:semiHidden/>
    <w:rsid w:val="00FC693F"/>
    <w:rPr>
      <w:rFonts w:ascii="EB Garamond" w:hAnsi="EB Garamond" w:eastAsia="EB Garamond" w:cs="EB Garamond"/>
      <w:i/>
      <w:iCs/>
      <w:color w:val="404040"/>
    </w:rPr>
  </w:style>
  <w:style w:type="character" w:customStyle="1" w:styleId="Heading8Char">
    <w:name w:val="Heading 8 Char"/>
    <w:basedOn w:val="DefaultParagraphFont"/>
    <w:link w:val="Heading8"/>
    <w:uiPriority w:val="9"/>
    <w:semiHidden/>
    <w:rsid w:val="00FC693F"/>
    <w:rPr>
      <w:rFonts w:ascii="EB Garamond" w:hAnsi="EB Garamond" w:eastAsia="EB Garamond" w:cs="EB Garamond"/>
      <w:color w:val="4F81BD"/>
      <w:sz w:val="20"/>
      <w:szCs w:val="20"/>
    </w:rPr>
  </w:style>
  <w:style w:type="character" w:customStyle="1" w:styleId="Heading9Char">
    <w:name w:val="Heading 9 Char"/>
    <w:basedOn w:val="DefaultParagraphFont"/>
    <w:link w:val="Heading9"/>
    <w:uiPriority w:val="9"/>
    <w:semiHidden/>
    <w:rsid w:val="00FC693F"/>
    <w:rPr>
      <w:rFonts w:ascii="EB Garamond" w:hAnsi="EB Garamond" w:eastAsia="EB Garamond" w:cs="EB Garamond"/>
      <w:i/>
      <w:iCs/>
      <w:color w:val="404040"/>
      <w:sz w:val="20"/>
      <w:szCs w:val="20"/>
    </w:rPr>
  </w:style>
  <w:style w:type="paragraph" w:styleId="Caption">
    <w:name w:val="caption"/>
    <w:basedOn w:val="Normal"/>
    <w:next w:val="Normal"/>
    <w:uiPriority w:val="35"/>
    <w:semiHidden/>
    <w:unhideWhenUsed/>
    <w:qFormat/>
    <w:rsid w:val="00FC693F"/>
    <w:pPr>
      <w:spacing w:line="240" w:lineRule="auto"/>
    </w:pPr>
    <w:rPr>
      <w:b/>
      <w:bCs/>
      <w:color w:val="4F81BD"/>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FC693F"/>
    <w:rPr>
      <w:b/>
      <w:bCs/>
      <w:i/>
      <w:iCs/>
      <w:color w:val="4F81BD"/>
    </w:rPr>
  </w:style>
  <w:style w:type="character" w:styleId="SubtleEmphasis">
    <w:name w:val="Subtle Emphasis"/>
    <w:basedOn w:val="DefaultParagraphFont"/>
    <w:uiPriority w:val="19"/>
    <w:qFormat/>
    <w:rsid w:val="00FC693F"/>
    <w:rPr>
      <w:i/>
      <w:iCs/>
      <w:color w:val="808080"/>
    </w:rPr>
  </w:style>
  <w:style w:type="character" w:styleId="IntenseEmphasis">
    <w:name w:val="Intense Emphasis"/>
    <w:basedOn w:val="DefaultParagraphFont"/>
    <w:uiPriority w:val="21"/>
    <w:qFormat/>
    <w:rsid w:val="00FC693F"/>
    <w:rPr>
      <w:b/>
      <w:bCs/>
      <w:i/>
      <w:iCs/>
      <w:color w:val="4F81BD"/>
    </w:rPr>
  </w:style>
  <w:style w:type="character" w:styleId="SubtleReference">
    <w:name w:val="Subtle Reference"/>
    <w:basedOn w:val="DefaultParagraphFont"/>
    <w:uiPriority w:val="31"/>
    <w:qFormat/>
    <w:rsid w:val="00FC693F"/>
    <w:rPr>
      <w:smallCaps/>
      <w:color w:val="C0504D"/>
      <w:u w:val="single"/>
    </w:rPr>
  </w:style>
  <w:style w:type="character" w:styleId="IntenseReference">
    <w:name w:val="Intense Reference"/>
    <w:basedOn w:val="DefaultParagraphFont"/>
    <w:uiPriority w:val="32"/>
    <w:qFormat/>
    <w:rsid w:val="00FC693F"/>
    <w:rPr>
      <w:b/>
      <w:bCs/>
      <w:smallCaps/>
      <w:color w:val="C0504D"/>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EB Garamond" w:hAnsi="EB Garamond" w:eastAsia="EB Garamond" w:cs="EB Garamond"/>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EB Garamond" w:hAnsi="EB Garamond" w:eastAsia="EB Garamond" w:cs="EB Garamond"/>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EB Garamond" w:hAnsi="EB Garamond" w:eastAsia="EB Garamond" w:cs="EB Garamond"/>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EB Garamond" w:hAnsi="EB Garamond" w:eastAsia="EB Garamond" w:cs="EB Garamond"/>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EB Garamond" w:hAnsi="EB Garamond" w:eastAsia="EB Garamond" w:cs="EB Garamond"/>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EB Garamond" w:hAnsi="EB Garamond" w:eastAsia="EB Garamond" w:cs="EB Garamond"/>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EB Garamond" w:hAnsi="EB Garamond" w:eastAsia="EB Garamond" w:cs="EB Garamond"/>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EB Garamond" w:hAnsi="EB Garamond" w:eastAsia="EB Garamond" w:cs="EB Garamond"/>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EB Garamond" w:hAnsi="EB Garamond" w:eastAsia="EB Garamond" w:cs="EB Garamond"/>
        <w:b/>
        <w:bCs/>
      </w:rPr>
    </w:tblStylePr>
    <w:tblStylePr w:type="lastCol">
      <w:rPr>
        <w:rFonts w:ascii="EB Garamond" w:hAnsi="EB Garamond" w:eastAsia="EB Garamond" w:cs="EB Garamond"/>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000000" w:themeColor="text1"/>
        </w:tcBorders>
      </w:tcPr>
    </w:tblStylePr>
    <w:tblStylePr w:type="lastRow">
      <w:rPr>
        <w:b/>
        <w:bCs/>
        <w:color w:val="1F497D"/>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F81BD" w:themeColor="accent1"/>
        </w:tcBorders>
      </w:tcPr>
    </w:tblStylePr>
    <w:tblStylePr w:type="lastRow">
      <w:rPr>
        <w:b/>
        <w:bCs/>
        <w:color w:val="1F497D"/>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C0504D" w:themeColor="accent2"/>
        </w:tcBorders>
      </w:tcPr>
    </w:tblStylePr>
    <w:tblStylePr w:type="lastRow">
      <w:rPr>
        <w:b/>
        <w:bCs/>
        <w:color w:val="1F497D"/>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9BBB59" w:themeColor="accent3"/>
        </w:tcBorders>
      </w:tcPr>
    </w:tblStylePr>
    <w:tblStylePr w:type="lastRow">
      <w:rPr>
        <w:b/>
        <w:bCs/>
        <w:color w:val="1F497D"/>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8064A2" w:themeColor="accent4"/>
        </w:tcBorders>
      </w:tcPr>
    </w:tblStylePr>
    <w:tblStylePr w:type="lastRow">
      <w:rPr>
        <w:b/>
        <w:bCs/>
        <w:color w:val="1F497D"/>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4BACC6" w:themeColor="accent5"/>
        </w:tcBorders>
      </w:tcPr>
    </w:tblStylePr>
    <w:tblStylePr w:type="lastRow">
      <w:rPr>
        <w:b/>
        <w:bCs/>
        <w:color w:val="1F497D"/>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EB Garamond" w:hAnsi="EB Garamond" w:eastAsia="EB Garamond" w:cs="EB Garamond"/>
      </w:rPr>
      <w:tblPr/>
      <w:tcPr>
        <w:tcBorders>
          <w:top w:val="nil"/>
          <w:bottom w:val="single" w:sz="8" w:space="0" w:color="F79646" w:themeColor="accent6"/>
        </w:tcBorders>
      </w:tcPr>
    </w:tblStylePr>
    <w:tblStylePr w:type="lastRow">
      <w:rPr>
        <w:b/>
        <w:bCs/>
        <w:color w:val="1F497D"/>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rPr>
      <w:tblPr/>
      <w:tcPr>
        <w:shd w:val="clear" w:color="auto" w:fill="E6E6E6" w:themeFill="tex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rPr>
      <w:tblPr/>
      <w:tcPr>
        <w:shd w:val="clear" w:color="auto" w:fill="EDF2F8" w:themeFill="accent1"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rPr>
      <w:tblPr/>
      <w:tcPr>
        <w:shd w:val="clear" w:color="auto" w:fill="F8EDED" w:themeFill="accent2"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rPr>
      <w:tblPr/>
      <w:tcPr>
        <w:shd w:val="clear" w:color="auto" w:fill="F5F8EE" w:themeFill="accent3"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rPr>
      <w:tblPr/>
      <w:tcPr>
        <w:shd w:val="clear" w:color="auto" w:fill="F2EFF6" w:themeFill="accent4"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rPr>
      <w:tblPr/>
      <w:tcPr>
        <w:shd w:val="clear" w:color="auto" w:fill="EDF6F9" w:themeFill="accent5"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EB Garamond" w:hAnsi="EB Garamond" w:eastAsia="EB Garamond" w:cs="EB Garamond"/>
      <w:color w:val="00000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rPr>
      <w:tblPr/>
      <w:tcPr>
        <w:shd w:val="clear" w:color="auto" w:fill="FEF4EC" w:themeFill="accent6" w:themeFillTint="19"/>
      </w:tcPr>
    </w:tblStylePr>
    <w:tblStylePr w:type="lastRow">
      <w:rPr>
        <w:b/>
        <w:bCs/>
        <w:color w:val="000000"/>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000000" w:themeFill="text1" w:themeFillShade="99"/>
      </w:tcPr>
    </w:tblStylePr>
    <w:tblStylePr w:type="firstCol">
      <w:rPr>
        <w:color w:val="FFFFFF"/>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B0664"/>
    <w:pPr>
      <w:spacing w:after="0" w:line="240" w:lineRule="auto"/>
    </w:pPr>
    <w:rPr>
      <w:color w:val="00000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C4C74" w:themeFill="accent1" w:themeFillShade="99"/>
      </w:tcPr>
    </w:tblStylePr>
    <w:tblStylePr w:type="firstCol">
      <w:rPr>
        <w:color w:val="FFFFFF"/>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B0664"/>
    <w:pPr>
      <w:spacing w:after="0" w:line="240" w:lineRule="auto"/>
    </w:pPr>
    <w:rPr>
      <w:color w:val="00000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772C2A" w:themeFill="accent2" w:themeFillShade="99"/>
      </w:tcPr>
    </w:tblStylePr>
    <w:tblStylePr w:type="firstCol">
      <w:rPr>
        <w:color w:val="FFFFFF"/>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B0664"/>
    <w:pPr>
      <w:spacing w:after="0" w:line="240" w:lineRule="auto"/>
    </w:pPr>
    <w:rPr>
      <w:color w:val="00000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5E7530" w:themeFill="accent3" w:themeFillShade="99"/>
      </w:tcPr>
    </w:tblStylePr>
    <w:tblStylePr w:type="firstCol">
      <w:rPr>
        <w:color w:val="FFFFFF"/>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4C3B62" w:themeFill="accent4" w:themeFillShade="99"/>
      </w:tcPr>
    </w:tblStylePr>
    <w:tblStylePr w:type="firstCol">
      <w:rPr>
        <w:color w:val="FFFFFF"/>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B0664"/>
    <w:pPr>
      <w:spacing w:after="0" w:line="240" w:lineRule="auto"/>
    </w:pPr>
    <w:rPr>
      <w:color w:val="00000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276A7C" w:themeFill="accent5" w:themeFillShade="99"/>
      </w:tcPr>
    </w:tblStylePr>
    <w:tblStylePr w:type="firstCol">
      <w:rPr>
        <w:color w:val="FFFFFF"/>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B0664"/>
    <w:pPr>
      <w:spacing w:after="0" w:line="240" w:lineRule="auto"/>
    </w:pPr>
    <w:rPr>
      <w:color w:val="00000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rPr>
      <w:tblPr/>
      <w:tcPr>
        <w:tcBorders>
          <w:top w:val="single" w:sz="6" w:space="0" w:color="FFFFFF" w:themeColor="background1"/>
        </w:tcBorders>
        <w:shd w:val="clear" w:color="auto" w:fill="B65608" w:themeFill="accent6" w:themeFillShade="99"/>
      </w:tcPr>
    </w:tblStylePr>
    <w:tblStylePr w:type="firstCol">
      <w:rPr>
        <w:color w:val="FFFFFF"/>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rPr>
    </w:tblStylePr>
    <w:tblStylePr w:type="nwCell">
      <w:rPr>
        <w:color w:val="000000"/>
      </w:rPr>
    </w:tblStylePr>
  </w:style>
  <w:style w:type="table" w:styleId="ColorfulList">
    <w:name w:val="Colorful List"/>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rPr>
      <w:tblPr/>
      <w:tcPr>
        <w:tcBorders>
          <w:bottom w:val="single" w:sz="12" w:space="0" w:color="FFFFFF" w:themeColor="background1"/>
        </w:tcBorders>
        <w:shd w:val="clear" w:color="auto" w:fill="664E82" w:themeFill="accent4" w:themeFillShade="CC"/>
      </w:tcPr>
    </w:tblStylePr>
    <w:tblStylePr w:type="lastRow">
      <w:rPr>
        <w:b/>
        <w:bCs/>
        <w:color w:val="664E82"/>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rPr>
      <w:tblPr/>
      <w:tcPr>
        <w:tcBorders>
          <w:bottom w:val="single" w:sz="12" w:space="0" w:color="FFFFFF" w:themeColor="background1"/>
        </w:tcBorders>
        <w:shd w:val="clear" w:color="auto" w:fill="7E9C40" w:themeFill="accent3" w:themeFillShade="CC"/>
      </w:tcPr>
    </w:tblStylePr>
    <w:tblStylePr w:type="lastRow">
      <w:rPr>
        <w:b/>
        <w:bCs/>
        <w:color w:val="7E9C40"/>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rPr>
      <w:tblPr/>
      <w:tcPr>
        <w:tcBorders>
          <w:bottom w:val="single" w:sz="12" w:space="0" w:color="FFFFFF" w:themeColor="background1"/>
        </w:tcBorders>
        <w:shd w:val="clear" w:color="auto" w:fill="F2730A" w:themeFill="accent6" w:themeFillShade="CC"/>
      </w:tcPr>
    </w:tblStylePr>
    <w:tblStylePr w:type="lastRow">
      <w:rPr>
        <w:b/>
        <w:bCs/>
        <w:color w:val="F2730A"/>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rPr>
      <w:tblPr/>
      <w:tcPr>
        <w:tcBorders>
          <w:bottom w:val="single" w:sz="12" w:space="0" w:color="FFFFFF" w:themeColor="background1"/>
        </w:tcBorders>
        <w:shd w:val="clear" w:color="auto" w:fill="348DA5" w:themeFill="accent5" w:themeFillShade="CC"/>
      </w:tcPr>
    </w:tblStylePr>
    <w:tblStylePr w:type="lastRow">
      <w:rPr>
        <w:b/>
        <w:bCs/>
        <w:color w:val="348DA5"/>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rPr>
      <w:tblPr/>
      <w:tcPr>
        <w:shd w:val="clear" w:color="auto" w:fill="999999" w:themeFill="text1" w:themeFillTint="66"/>
      </w:tcPr>
    </w:tblStylePr>
    <w:tblStylePr w:type="firstCol">
      <w:rPr>
        <w:color w:val="FFFFFF"/>
      </w:rPr>
      <w:tblPr/>
      <w:tcPr>
        <w:shd w:val="clear" w:color="auto" w:fill="000000" w:themeFill="text1" w:themeFillShade="BF"/>
      </w:tcPr>
    </w:tblStylePr>
    <w:tblStylePr w:type="lastCol">
      <w:rPr>
        <w:color w:val="FFFFFF"/>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rPr>
      <w:tblPr/>
      <w:tcPr>
        <w:shd w:val="clear" w:color="auto" w:fill="B8CCE4" w:themeFill="accent1" w:themeFillTint="66"/>
      </w:tcPr>
    </w:tblStylePr>
    <w:tblStylePr w:type="firstCol">
      <w:rPr>
        <w:color w:val="FFFFFF"/>
      </w:rPr>
      <w:tblPr/>
      <w:tcPr>
        <w:shd w:val="clear" w:color="auto" w:fill="365F91" w:themeFill="accent1" w:themeFillShade="BF"/>
      </w:tcPr>
    </w:tblStylePr>
    <w:tblStylePr w:type="lastCol">
      <w:rPr>
        <w:color w:val="FFFFFF"/>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rPr>
      <w:tblPr/>
      <w:tcPr>
        <w:shd w:val="clear" w:color="auto" w:fill="E5B8B7" w:themeFill="accent2" w:themeFillTint="66"/>
      </w:tcPr>
    </w:tblStylePr>
    <w:tblStylePr w:type="firstCol">
      <w:rPr>
        <w:color w:val="FFFFFF"/>
      </w:rPr>
      <w:tblPr/>
      <w:tcPr>
        <w:shd w:val="clear" w:color="auto" w:fill="943634" w:themeFill="accent2" w:themeFillShade="BF"/>
      </w:tcPr>
    </w:tblStylePr>
    <w:tblStylePr w:type="lastCol">
      <w:rPr>
        <w:color w:val="FFFFFF"/>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rPr>
      <w:tblPr/>
      <w:tcPr>
        <w:shd w:val="clear" w:color="auto" w:fill="D6E3BC" w:themeFill="accent3" w:themeFillTint="66"/>
      </w:tcPr>
    </w:tblStylePr>
    <w:tblStylePr w:type="firstCol">
      <w:rPr>
        <w:color w:val="FFFFFF"/>
      </w:rPr>
      <w:tblPr/>
      <w:tcPr>
        <w:shd w:val="clear" w:color="auto" w:fill="76923C" w:themeFill="accent3" w:themeFillShade="BF"/>
      </w:tcPr>
    </w:tblStylePr>
    <w:tblStylePr w:type="lastCol">
      <w:rPr>
        <w:color w:val="FFFFFF"/>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rPr>
      <w:tblPr/>
      <w:tcPr>
        <w:shd w:val="clear" w:color="auto" w:fill="CCC0D9" w:themeFill="accent4" w:themeFillTint="66"/>
      </w:tcPr>
    </w:tblStylePr>
    <w:tblStylePr w:type="firstCol">
      <w:rPr>
        <w:color w:val="FFFFFF"/>
      </w:rPr>
      <w:tblPr/>
      <w:tcPr>
        <w:shd w:val="clear" w:color="auto" w:fill="5F497A" w:themeFill="accent4" w:themeFillShade="BF"/>
      </w:tcPr>
    </w:tblStylePr>
    <w:tblStylePr w:type="lastCol">
      <w:rPr>
        <w:color w:val="FFFFFF"/>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rPr>
      <w:tblPr/>
      <w:tcPr>
        <w:shd w:val="clear" w:color="auto" w:fill="B6DDE8" w:themeFill="accent5" w:themeFillTint="66"/>
      </w:tcPr>
    </w:tblStylePr>
    <w:tblStylePr w:type="firstCol">
      <w:rPr>
        <w:color w:val="FFFFFF"/>
      </w:rPr>
      <w:tblPr/>
      <w:tcPr>
        <w:shd w:val="clear" w:color="auto" w:fill="31849B" w:themeFill="accent5" w:themeFillShade="BF"/>
      </w:tcPr>
    </w:tblStylePr>
    <w:tblStylePr w:type="lastCol">
      <w:rPr>
        <w:color w:val="FFFFFF"/>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rPr>
      <w:tblPr/>
      <w:tcPr>
        <w:shd w:val="clear" w:color="auto" w:fill="FBD4B4" w:themeFill="accent6" w:themeFillTint="66"/>
      </w:tcPr>
    </w:tblStylePr>
    <w:tblStylePr w:type="firstCol">
      <w:rPr>
        <w:color w:val="FFFFFF"/>
      </w:rPr>
      <w:tblPr/>
      <w:tcPr>
        <w:shd w:val="clear" w:color="auto" w:fill="E36C0A" w:themeFill="accent6" w:themeFillShade="BF"/>
      </w:tcPr>
    </w:tblStylePr>
    <w:tblStylePr w:type="lastCol">
      <w:rPr>
        <w:color w:val="FFFFFF"/>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1.png"/><Relationship Id="rId13" Type="http://schemas.openxmlformats.org/officeDocument/2006/relationships/hyperlink" Target="https://www.corneritaliano.com/en/2050/resources/" TargetMode="Externa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odttf"/><Relationship Id="rId2" Type="http://schemas.openxmlformats.org/officeDocument/2006/relationships/font" Target="fonts/EBGaramond-Bold.odttf"/><Relationship Id="rId3" Type="http://schemas.openxmlformats.org/officeDocument/2006/relationships/font" Target="fonts/EBGaramond-Italic.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EB Garamond"/>
        <a:ea typeface="EB Garamond"/>
        <a:cs typeface="EB Garamond"/>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EB Garamond"/>
        <a:ea typeface="EB Garamond"/>
        <a:cs typeface="EB Garamond"/>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Two-System Testing Protocol</dc:title>
  <dc:subject>2050 Resource version EN-US-R2.3 | A4</dc:subject>
  <dc:creator>Marco De Prosperis</dc:creator>
  <cp:keywords>2050, EN-US-R2.3, July 2026 documentary snapshot, revised English interior</cp:keywords>
  <dc:description>EN-US-R2.3 resources verified against the English V51.2 interior. This release updates version labels and release documentation; substantive resource text is unchanged.</dc:description>
  <cp:lastModifiedBy>Corner Italiano LLC</cp:lastModifiedBy>
  <cp:revision>2</cp:revision>
  <dcterms:created xsi:type="dcterms:W3CDTF">2013-12-23T23:15:00Z</dcterms:created>
  <dcterms:modified xsi:type="dcterms:W3CDTF">2026-09-10T15:55:33Z</dcterms:modified>
  <cp:category/>
</cp:coreProperties>
</file>