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Default Extension="odttf" ContentType="application/vnd.openxmlformats-officedocument.obfuscatedFont"/>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840" w:line="240" w:lineRule="auto"/>
        <w:jc w:val="center"/>
      </w:pPr>
      <w:r>
        <w:drawing>
          <wp:inline xmlns:a="http://schemas.openxmlformats.org/drawingml/2006/main" xmlns:pic="http://schemas.openxmlformats.org/drawingml/2006/picture">
            <wp:extent cx="1508760" cy="1005840"/>
            <wp:docPr id="1" name="Picture 1" descr="Corner Italiano editorial logo" title="Corner Italiano"/>
            <wp:cNvGraphicFramePr>
              <a:graphicFrameLocks noChangeAspect="1"/>
            </wp:cNvGraphicFramePr>
            <a:graphic>
              <a:graphicData uri="http://schemas.openxmlformats.org/drawingml/2006/picture">
                <pic:pic>
                  <pic:nvPicPr>
                    <pic:cNvPr id="0" name="corner-italiano-logo.png"/>
                    <pic:cNvPicPr/>
                  </pic:nvPicPr>
                  <pic:blipFill>
                    <a:blip r:embed="rId12"/>
                    <a:stretch>
                      <a:fillRect/>
                    </a:stretch>
                  </pic:blipFill>
                  <pic:spPr>
                    <a:xfrm>
                      <a:off x="0" y="0"/>
                      <a:ext cx="1508760" cy="1005840"/>
                    </a:xfrm>
                    <a:prstGeom prst="rect"/>
                  </pic:spPr>
                </pic:pic>
              </a:graphicData>
            </a:graphic>
          </wp:inline>
        </w:drawing>
        <w:rPr>
          <w:rFonts w:ascii="EB Garamond" w:hAnsi="EB Garamond" w:eastAsia="EB Garamond" w:cs="EB Garamond"/>
          <w:sz w:val="21"/>
          <w:szCs w:val="21"/>
        </w:rPr>
      </w:r>
    </w:p>
    <w:p>
      <w:pPr>
        <w:spacing w:before="520" w:after="160" w:line="270" w:lineRule="exact"/>
        <w:jc w:val="center"/>
      </w:pPr>
      <w:r>
        <w:rPr>
          <w:rFonts w:ascii="EB Garamond" w:hAnsi="EB Garamond" w:eastAsia="EB Garamond" w:cs="EB Garamond"/>
          <w:b/>
          <w:color w:val="B04A35"/>
          <w:sz w:val="21"/>
          <w:szCs w:val="21"/>
        </w:rPr>
        <w:t>CORNER ITALIANO  |  OFFICIAL RESOURCES</w:t>
      </w:r>
    </w:p>
    <w:p>
      <w:pPr>
        <w:pStyle w:val="Title"/>
        <w:jc w:val="center"/>
        <w:spacing w:line="640" w:lineRule="exact"/>
      </w:pPr>
      <w:r>
        <w:rPr>
          <w:rFonts w:ascii="EB Garamond" w:hAnsi="EB Garamond" w:eastAsia="EB Garamond" w:cs="EB Garamond"/>
          <w:b/>
          <w:color w:val="183445"/>
          <w:sz w:val="56"/>
          <w:szCs w:val="56"/>
        </w:rPr>
        <w:t>Advanced Two-System Testing Protocol</w:t>
      </w:r>
    </w:p>
    <w:p>
      <w:pPr>
        <w:pStyle w:val="Subtitle"/>
        <w:jc w:val="center"/>
        <w:spacing w:line="320" w:lineRule="exact"/>
      </w:pPr>
      <w:r>
        <w:rPr>
          <w:rFonts w:ascii="EB Garamond" w:hAnsi="EB Garamond" w:eastAsia="EB Garamond" w:cs="EB Garamond"/>
          <w:color w:val="5A686F"/>
          <w:sz w:val="26"/>
          <w:szCs w:val="26"/>
        </w:rPr>
        <w:t>How to use a second system without turning it into an automatic rubber stamp</w:t>
      </w:r>
    </w:p>
    <w:p>
      <w:pPr>
        <w:spacing w:before="440" w:line="270" w:lineRule="exact"/>
        <w:jc w:val="center"/>
      </w:pPr>
      <w:r>
        <w:rPr>
          <w:rFonts w:ascii="EB Garamond" w:hAnsi="EB Garamond" w:eastAsia="EB Garamond" w:cs="EB Garamond"/>
          <w:b/>
          <w:color w:val="B04A35"/>
          <w:sz w:val="21"/>
          <w:szCs w:val="21"/>
        </w:rPr>
        <w:t>EXTENDED OPERATIONAL PROTOCOL</w:t>
      </w:r>
    </w:p>
    <w:p>
      <w:pPr>
        <w:jc w:val="center"/>
        <w:spacing w:line="270" w:lineRule="exact"/>
      </w:pPr>
      <w:r>
        <w:rPr>
          <w:rFonts w:ascii="EB Garamond" w:hAnsi="EB Garamond" w:eastAsia="EB Garamond" w:cs="EB Garamond"/>
          <w:color w:val="183445"/>
          <w:sz w:val="21"/>
          <w:szCs w:val="21"/>
        </w:rPr>
        <w:t>Aligned with the revised English interior · Documentary snapshot July 2026 · Resource version EN-US-R2.3</w:t>
      </w:r>
    </w:p>
    <w:p>
      <w:pPr>
        <w:spacing w:before="360" w:line="270" w:lineRule="exact"/>
        <w:jc w:val="center"/>
      </w:pPr>
      <w:hyperlink r:id="rId13">
        <w:r>
          <w:rPr>
            <w:rFonts w:ascii="EB Garamond" w:hAnsi="EB Garamond" w:eastAsia="EB Garamond" w:cs="EB Garamond"/>
            <w:color w:val="183445"/>
            <w:u w:val="single"/>
            <w:sz w:val="21"/>
            <w:szCs w:val="21"/>
          </w:rPr>
          <w:t>https://www.corneritaliano.com/en/2050/resources/</w:t>
        </w:r>
      </w:hyperlink>
    </w:p>
    <w:p>
      <w:r>
        <w:br w:type="page"/>
        <w:rPr>
          <w:rFonts w:ascii="EB Garamond" w:hAnsi="EB Garamond" w:eastAsia="EB Garamond" w:cs="EB Garamond"/>
          <w:sz w:val="21"/>
          <w:szCs w:val="21"/>
        </w:rPr>
      </w:r>
      <w:pPr/>
    </w:p>
    <w:tbl>
      <w:tblPr>
        <w:tblW w:type="dxa" w:w="10224"/>
        <w:jc w:val="left"/>
        <w:tblLayout w:type="fixed"/>
        <w:tblLook w:firstColumn="1" w:firstRow="1" w:lastColumn="0" w:lastRow="0" w:noHBand="0" w:noVBand="1" w:val="04A0"/>
        <w:tblInd w:w="150" w:type="dxa"/>
        <w:tblBorders>
          <w:top w:val="single" w:sz="7" w:space="0" w:color="B54B2A"/>
          <w:left w:val="single" w:sz="7" w:space="0" w:color="B54B2A"/>
          <w:bottom w:val="single" w:sz="7" w:space="0" w:color="B54B2A"/>
          <w:right w:val="single" w:sz="7" w:space="0" w:color="B54B2A"/>
          <w:insideH w:val="single" w:sz="7" w:space="0" w:color="B54B2A"/>
          <w:insideV w:val="single" w:sz="7" w:space="0" w:color="B54B2A"/>
        </w:tblBorders>
      </w:tblPr>
      <w:tblGrid>
        <w:gridCol w:w="10224"/>
      </w:tblGrid>
      <w:tr>
        <w:trPr>
          <w:cantSplit/>
        </w:trPr>
        <w:tc>
          <w:tcPr>
            <w:tcW w:type="dxa" w:w="10224"/>
            <w:shd w:fill="F7E7E0"/>
            <w:tcMar>
              <w:top w:w="120" w:type="dxa"/>
              <w:start w:w="150" w:type="dxa"/>
              <w:bottom w:w="120" w:type="dxa"/>
              <w:end w:w="150" w:type="dxa"/>
            </w:tcMar>
          </w:tcPr>
          <w:p>
            <w:pPr>
              <w:spacing w:after="40" w:line="210" w:lineRule="exact"/>
            </w:pPr>
            <w:r>
              <w:rPr>
                <w:rFonts w:ascii="EB Garamond" w:hAnsi="EB Garamond" w:eastAsia="EB Garamond" w:cs="EB Garamond"/>
                <w:b/>
                <w:color w:val="B04A35"/>
                <w:sz w:val="17"/>
                <w:szCs w:val="17"/>
              </w:rPr>
              <w:t xml:space="preserve">FUNDAMENTAL RULE  </w:t>
            </w:r>
            <w:r>
              <w:rPr>
                <w:rFonts w:ascii="EB Garamond" w:hAnsi="EB Garamond" w:eastAsia="EB Garamond" w:cs="EB Garamond"/>
                <w:color w:val="1F2D33"/>
                <w:sz w:val="17"/>
                <w:szCs w:val="17"/>
              </w:rPr>
              <w:t>A second system can look for errors or conditions that challenge the result. A different name, model, or provider does not establish independent verification. Attach its evidence to the Test without treating it as a second Test or adding votes.</w:t>
            </w:r>
          </w:p>
        </w:tc>
      </w:tr>
    </w:tbl>
    <w:p>
      <w:pPr>
        <w:spacing w:after="0"/>
      </w:pPr>
    </w:p>
    <w:p>
      <w:pPr>
        <w:keepLines w:val="0"/>
        <w:spacing w:line="270" w:lineRule="exact"/>
      </w:pPr>
      <w:r>
        <w:rPr>
          <w:rFonts w:ascii="EB Garamond" w:hAnsi="EB Garamond" w:eastAsia="EB Garamond" w:cs="EB Garamond"/>
          <w:color w:val="1F2D33"/>
          <w:sz w:val="21"/>
          <w:szCs w:val="21"/>
        </w:rPr>
        <w:t>Before use, define the legitimate outcome and the human benchmark. Identify prohibited actions and the groups exposed to benefits or costs. Divide the work into tasks and assign a mode, level, and risk to each. Set the time to harm and the divergence capable of changing the outcome, then name the responsible person and the stop condition. Begin in shadow mode and use adverse cases before permitting limited volume with reversible effects. A second system cannot by itself resolve conflicts of value or unequal access. Organizational capacity and Redress remain necessary.</w:t>
      </w:r>
    </w:p>
    <w:p>
      <w:pPr>
        <w:pStyle w:val="Heading1"/>
        <w:spacing w:line="460" w:lineRule="exact"/>
      </w:pPr>
      <w:r>
        <w:t>1. Purpose and limits</w:t>
        <w:rPr>
          <w:rFonts w:ascii="EB Garamond" w:hAnsi="EB Garamond" w:eastAsia="EB Garamond" w:cs="EB Garamond"/>
          <w:sz w:val="40"/>
          <w:szCs w:val="40"/>
          <w:color w:val="183445"/>
        </w:rPr>
      </w:r>
    </w:p>
    <w:p>
      <w:pPr>
        <w:keepLines w:val="0"/>
        <w:spacing w:line="270" w:lineRule="exact"/>
      </w:pPr>
      <w:r>
        <w:rPr>
          <w:rFonts w:ascii="EB Garamond" w:hAnsi="EB Garamond" w:eastAsia="EB Garamond" w:cs="EB Garamond"/>
          <w:color w:val="1F2D33"/>
          <w:sz w:val="21"/>
          <w:szCs w:val="21"/>
        </w:rPr>
        <w:t>Use this protocol when pairing a primary system with a second system that looks for errors or conditions that challenge the result and could justify reopening the case. Treat the output as additional evidence within the 2050 Test. Competent judgment, Redress, and stop authority remain necessary.</w:t>
      </w:r>
    </w:p>
    <w:p>
      <w:pPr>
        <w:keepLines w:val="0"/>
        <w:spacing w:line="270" w:lineRule="exact"/>
      </w:pPr>
      <w:r>
        <w:rPr>
          <w:rFonts w:ascii="EB Garamond" w:hAnsi="EB Garamond" w:eastAsia="EB Garamond" w:cs="EB Garamond"/>
          <w:color w:val="1F2D33"/>
          <w:sz w:val="21"/>
          <w:szCs w:val="21"/>
        </w:rPr>
        <w:t>Agreement between the systems does not prove that an outcome is correct, and disagreement does not authorize an automatic average. Shared sources or data can lead both systems to the same error, as can common labels or infrastructure.</w:t>
      </w:r>
    </w:p>
    <w:p>
      <w:pPr>
        <w:pStyle w:val="Heading1"/>
        <w:spacing w:line="460" w:lineRule="exact"/>
      </w:pPr>
      <w:r>
        <w:t>2. Roles and separation of responsibilities</w:t>
        <w:rPr>
          <w:rFonts w:ascii="EB Garamond" w:hAnsi="EB Garamond" w:eastAsia="EB Garamond" w:cs="EB Garamond"/>
          <w:sz w:val="40"/>
          <w:szCs w:val="40"/>
          <w:color w:val="183445"/>
        </w:rPr>
      </w:r>
    </w:p>
    <w:tbl>
      <w:tblPr>
        <w:tblW w:type="dxa" w:w="10224"/>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2556"/>
        <w:gridCol w:w="7668"/>
      </w:tblGrid>
      <w:tr>
        <w:trPr>
          <w:tblHeader w:val="true"/>
          <w:cantSplit/>
        </w:trPr>
        <w:tc>
          <w:tcPr>
            <w:tcW w:type="dxa" w:w="2556"/>
            <w:vAlign w:val="center"/>
            <w:tcMar>
              <w:top w:w="65" w:type="dxa"/>
              <w:start w:w="120" w:type="dxa"/>
              <w:bottom w:w="65" w:type="dxa"/>
              <w:end w:w="120" w:type="dxa"/>
            </w:tcMar>
            <w:shd w:fill="123044"/>
          </w:tcPr>
          <w:p>
            <w:pPr>
              <w:spacing w:after="0" w:line="210" w:lineRule="exact"/>
            </w:pPr>
            <w:r>
              <w:rPr>
                <w:rFonts w:ascii="EB Garamond" w:hAnsi="EB Garamond" w:eastAsia="EB Garamond" w:cs="EB Garamond"/>
                <w:b/>
                <w:color w:val="FFFFFF"/>
                <w:sz w:val="17"/>
                <w:szCs w:val="17"/>
              </w:rPr>
              <w:t>Role</w:t>
            </w:r>
          </w:p>
        </w:tc>
        <w:tc>
          <w:tcPr>
            <w:tcW w:type="dxa" w:w="7668"/>
            <w:vAlign w:val="center"/>
            <w:tcMar>
              <w:top w:w="65" w:type="dxa"/>
              <w:start w:w="120" w:type="dxa"/>
              <w:bottom w:w="65" w:type="dxa"/>
              <w:end w:w="120" w:type="dxa"/>
            </w:tcMar>
            <w:shd w:fill="123044"/>
          </w:tcPr>
          <w:p>
            <w:pPr>
              <w:spacing w:after="0" w:line="210" w:lineRule="exact"/>
            </w:pPr>
            <w:r>
              <w:rPr>
                <w:rFonts w:ascii="EB Garamond" w:hAnsi="EB Garamond" w:eastAsia="EB Garamond" w:cs="EB Garamond"/>
                <w:b/>
                <w:color w:val="FFFFFF"/>
                <w:sz w:val="17"/>
                <w:szCs w:val="17"/>
              </w:rPr>
              <w:t>Minimum responsibility</w:t>
            </w:r>
          </w:p>
        </w:tc>
      </w:tr>
      <w:tr>
        <w:trPr>
          <w:cantSplit/>
        </w:trPr>
        <w:tc>
          <w:tcPr>
            <w:tcW w:type="dxa" w:w="2556"/>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Test owner</w:t>
            </w:r>
          </w:p>
        </w:tc>
        <w:tc>
          <w:tcPr>
            <w:tcW w:type="dxa" w:w="7668"/>
            <w:vAlign w:val="center"/>
            <w:tcMar>
              <w:top w:w="65" w:type="dxa"/>
              <w:start w:w="120" w:type="dxa"/>
              <w:bottom w:w="65" w:type="dxa"/>
              <w:end w:w="120" w:type="dxa"/>
            </w:tcMar>
          </w:tcPr>
          <w:p>
            <w:pPr>
              <w:spacing w:after="0" w:line="210" w:lineRule="exact"/>
            </w:pPr>
            <w:r>
              <w:rPr>
                <w:rFonts w:ascii="EB Garamond" w:hAnsi="EB Garamond" w:eastAsia="EB Garamond" w:cs="EB Garamond"/>
                <w:b w:val="0"/>
                <w:color w:val="1F2D33"/>
                <w:sz w:val="17"/>
                <w:szCs w:val="17"/>
              </w:rPr>
              <w:t>Defines the problem, Mandate, non-compensable thresholds, and organizational decision. Does not delegate approval to the two systems.</w:t>
            </w:r>
          </w:p>
        </w:tc>
      </w:tr>
      <w:tr>
        <w:trPr>
          <w:cantSplit/>
        </w:trPr>
        <w:tc>
          <w:tcPr>
            <w:tcW w:type="dxa" w:w="2556"/>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color w:val="1F2D33"/>
                <w:sz w:val="17"/>
                <w:szCs w:val="17"/>
              </w:rPr>
              <w:t>System A</w:t>
            </w:r>
          </w:p>
        </w:tc>
        <w:tc>
          <w:tcPr>
            <w:tcW w:type="dxa" w:w="7668"/>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val="0"/>
                <w:color w:val="1F2D33"/>
                <w:sz w:val="17"/>
                <w:szCs w:val="17"/>
              </w:rPr>
              <w:t>Performs the task within the experimental scope and retains inputs, version, outputs, sources, and uncertainty.</w:t>
            </w:r>
          </w:p>
        </w:tc>
      </w:tr>
      <w:tr>
        <w:trPr>
          <w:cantSplit/>
        </w:trPr>
        <w:tc>
          <w:tcPr>
            <w:tcW w:type="dxa" w:w="2556"/>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System B</w:t>
            </w:r>
          </w:p>
        </w:tc>
        <w:tc>
          <w:tcPr>
            <w:tcW w:type="dxa" w:w="7668"/>
            <w:vAlign w:val="center"/>
            <w:tcMar>
              <w:top w:w="65" w:type="dxa"/>
              <w:start w:w="120" w:type="dxa"/>
              <w:bottom w:w="65" w:type="dxa"/>
              <w:end w:w="120" w:type="dxa"/>
            </w:tcMar>
          </w:tcPr>
          <w:p>
            <w:pPr>
              <w:spacing w:after="0" w:line="210" w:lineRule="exact"/>
            </w:pPr>
            <w:r>
              <w:rPr>
                <w:rFonts w:ascii="EB Garamond" w:hAnsi="EB Garamond" w:eastAsia="EB Garamond" w:cs="EB Garamond"/>
                <w:b w:val="0"/>
                <w:color w:val="1F2D33"/>
                <w:sz w:val="17"/>
                <w:szCs w:val="17"/>
              </w:rPr>
              <w:t>Looks for errors, contrary conditions, or evidence that could change the outcome; it does not average its answer with A.</w:t>
            </w:r>
          </w:p>
        </w:tc>
      </w:tr>
      <w:tr>
        <w:trPr>
          <w:cantSplit/>
        </w:trPr>
        <w:tc>
          <w:tcPr>
            <w:tcW w:type="dxa" w:w="2556"/>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color w:val="1F2D33"/>
                <w:sz w:val="17"/>
                <w:szCs w:val="17"/>
              </w:rPr>
              <w:t>Test lead</w:t>
            </w:r>
          </w:p>
        </w:tc>
        <w:tc>
          <w:tcPr>
            <w:tcW w:type="dxa" w:w="7668"/>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val="0"/>
                <w:color w:val="1F2D33"/>
                <w:sz w:val="17"/>
                <w:szCs w:val="17"/>
              </w:rPr>
              <w:t>Keeps data, logs, configurations, and access separate; documents common dependencies and divergences.</w:t>
            </w:r>
          </w:p>
        </w:tc>
      </w:tr>
      <w:tr>
        <w:trPr>
          <w:cantSplit/>
        </w:trPr>
        <w:tc>
          <w:tcPr>
            <w:tcW w:type="dxa" w:w="2556"/>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Competent reviewer</w:t>
            </w:r>
          </w:p>
        </w:tc>
        <w:tc>
          <w:tcPr>
            <w:tcW w:type="dxa" w:w="7668"/>
            <w:vAlign w:val="center"/>
            <w:tcMar>
              <w:top w:w="65" w:type="dxa"/>
              <w:start w:w="120" w:type="dxa"/>
              <w:bottom w:w="65" w:type="dxa"/>
              <w:end w:w="120" w:type="dxa"/>
            </w:tcMar>
          </w:tcPr>
          <w:p>
            <w:pPr>
              <w:spacing w:after="0" w:line="210" w:lineRule="exact"/>
            </w:pPr>
            <w:r>
              <w:rPr>
                <w:rFonts w:ascii="EB Garamond" w:hAnsi="EB Garamond" w:eastAsia="EB Garamond" w:cs="EB Garamond"/>
                <w:b w:val="0"/>
                <w:color w:val="1F2D33"/>
                <w:sz w:val="17"/>
                <w:szCs w:val="17"/>
              </w:rPr>
              <w:t>Reconstructs the disputed point within the available control window and may narrow, suspend, or stop.</w:t>
            </w:r>
          </w:p>
        </w:tc>
      </w:tr>
      <w:tr>
        <w:trPr>
          <w:cantSplit/>
        </w:trPr>
        <w:tc>
          <w:tcPr>
            <w:tcW w:type="dxa" w:w="2556"/>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color w:val="1F2D33"/>
                <w:sz w:val="17"/>
                <w:szCs w:val="17"/>
              </w:rPr>
              <w:t>Stop authority</w:t>
            </w:r>
          </w:p>
        </w:tc>
        <w:tc>
          <w:tcPr>
            <w:tcW w:type="dxa" w:w="7668"/>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val="0"/>
                <w:color w:val="1F2D33"/>
                <w:sz w:val="17"/>
                <w:szCs w:val="17"/>
              </w:rPr>
              <w:t>Applies the written consequence without waiting for the provider or informal consensus.</w:t>
            </w:r>
          </w:p>
        </w:tc>
      </w:tr>
    </w:tbl>
    <w:p>
      <w:pPr>
        <w:spacing w:after="0"/>
      </w:pPr>
    </w:p>
    <w:p>
      <w:pPr>
        <w:pStyle w:val="Heading1"/>
        <w:spacing w:line="460" w:lineRule="exact"/>
      </w:pPr>
      <w:r>
        <w:t>3. Conditions before testing</w:t>
        <w:rPr>
          <w:rFonts w:ascii="EB Garamond" w:hAnsi="EB Garamond" w:eastAsia="EB Garamond" w:cs="EB Garamond"/>
          <w:sz w:val="40"/>
          <w:szCs w:val="40"/>
          <w:color w:val="183445"/>
        </w:rPr>
      </w:r>
    </w:p>
    <w:tbl>
      <w:tblPr>
        <w:tblW w:type="dxa" w:w="10224"/>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2760"/>
        <w:gridCol w:w="7464"/>
      </w:tblGrid>
      <w:tr>
        <w:trPr>
          <w:tblHeader w:val="true"/>
          <w:cantSplit/>
        </w:trPr>
        <w:tc>
          <w:tcPr>
            <w:tcW w:type="dxa" w:w="2760"/>
            <w:vAlign w:val="center"/>
            <w:tcMar>
              <w:top w:w="65" w:type="dxa"/>
              <w:start w:w="120" w:type="dxa"/>
              <w:bottom w:w="65" w:type="dxa"/>
              <w:end w:w="120" w:type="dxa"/>
            </w:tcMar>
            <w:shd w:fill="123044"/>
          </w:tcPr>
          <w:p>
            <w:pPr>
              <w:spacing w:after="0" w:line="210" w:lineRule="exact"/>
            </w:pPr>
            <w:r>
              <w:rPr>
                <w:rFonts w:ascii="EB Garamond" w:hAnsi="EB Garamond" w:eastAsia="EB Garamond" w:cs="EB Garamond"/>
                <w:b/>
                <w:color w:val="FFFFFF"/>
                <w:sz w:val="17"/>
                <w:szCs w:val="17"/>
              </w:rPr>
              <w:t>Before activation</w:t>
            </w:r>
          </w:p>
        </w:tc>
        <w:tc>
          <w:tcPr>
            <w:tcW w:type="dxa" w:w="7464"/>
            <w:vAlign w:val="center"/>
            <w:tcMar>
              <w:top w:w="65" w:type="dxa"/>
              <w:start w:w="120" w:type="dxa"/>
              <w:bottom w:w="65" w:type="dxa"/>
              <w:end w:w="120" w:type="dxa"/>
            </w:tcMar>
            <w:shd w:fill="123044"/>
          </w:tcPr>
          <w:p>
            <w:pPr>
              <w:spacing w:after="0" w:line="210" w:lineRule="exact"/>
            </w:pPr>
            <w:r>
              <w:rPr>
                <w:rFonts w:ascii="EB Garamond" w:hAnsi="EB Garamond" w:eastAsia="EB Garamond" w:cs="EB Garamond"/>
                <w:b/>
                <w:color w:val="FFFFFF"/>
                <w:sz w:val="17"/>
                <w:szCs w:val="17"/>
              </w:rPr>
              <w:t>Question to close</w:t>
            </w:r>
          </w:p>
        </w:tc>
      </w:tr>
      <w:tr>
        <w:trPr>
          <w:cantSplit/>
        </w:trPr>
        <w:tc>
          <w:tcPr>
            <w:tcW w:type="dxa" w:w="2760"/>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Legitimate outcome</w:t>
            </w:r>
          </w:p>
        </w:tc>
        <w:tc>
          <w:tcPr>
            <w:tcW w:type="dxa" w:w="7464"/>
            <w:vAlign w:val="center"/>
            <w:tcMar>
              <w:top w:w="65" w:type="dxa"/>
              <w:start w:w="120" w:type="dxa"/>
              <w:bottom w:w="65" w:type="dxa"/>
              <w:end w:w="120" w:type="dxa"/>
            </w:tcMar>
          </w:tcPr>
          <w:p>
            <w:pPr>
              <w:spacing w:after="0" w:line="210" w:lineRule="exact"/>
            </w:pPr>
            <w:r>
              <w:rPr>
                <w:rFonts w:ascii="EB Garamond" w:hAnsi="EB Garamond" w:eastAsia="EB Garamond" w:cs="EB Garamond"/>
                <w:b w:val="0"/>
                <w:color w:val="1F2D33"/>
                <w:sz w:val="17"/>
                <w:szCs w:val="17"/>
              </w:rPr>
              <w:t>What result would be acceptable, and what observable improvement would justify it?</w:t>
            </w:r>
          </w:p>
        </w:tc>
      </w:tr>
      <w:tr>
        <w:trPr>
          <w:cantSplit/>
        </w:trPr>
        <w:tc>
          <w:tcPr>
            <w:tcW w:type="dxa" w:w="2760"/>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color w:val="1F2D33"/>
                <w:sz w:val="17"/>
                <w:szCs w:val="17"/>
              </w:rPr>
              <w:t>Prohibited actions</w:t>
            </w:r>
          </w:p>
        </w:tc>
        <w:tc>
          <w:tcPr>
            <w:tcW w:type="dxa" w:w="7464"/>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val="0"/>
                <w:color w:val="1F2D33"/>
                <w:sz w:val="17"/>
                <w:szCs w:val="17"/>
              </w:rPr>
              <w:t>What may neither system decide or execute?</w:t>
            </w:r>
          </w:p>
        </w:tc>
      </w:tr>
      <w:tr>
        <w:trPr>
          <w:cantSplit/>
        </w:trPr>
        <w:tc>
          <w:tcPr>
            <w:tcW w:type="dxa" w:w="2760"/>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Exposed groups</w:t>
            </w:r>
          </w:p>
        </w:tc>
        <w:tc>
          <w:tcPr>
            <w:tcW w:type="dxa" w:w="7464"/>
            <w:vAlign w:val="center"/>
            <w:tcMar>
              <w:top w:w="65" w:type="dxa"/>
              <w:start w:w="120" w:type="dxa"/>
              <w:bottom w:w="65" w:type="dxa"/>
              <w:end w:w="120" w:type="dxa"/>
            </w:tcMar>
          </w:tcPr>
          <w:p>
            <w:pPr>
              <w:spacing w:after="0" w:line="210" w:lineRule="exact"/>
            </w:pPr>
            <w:r>
              <w:rPr>
                <w:rFonts w:ascii="EB Garamond" w:hAnsi="EB Garamond" w:eastAsia="EB Garamond" w:cs="EB Garamond"/>
                <w:b w:val="0"/>
                <w:color w:val="1F2D33"/>
                <w:sz w:val="17"/>
                <w:szCs w:val="17"/>
              </w:rPr>
              <w:t>Who receives the benefit, and who bears risk, delay, work, or difficulty challenging the outcome?</w:t>
            </w:r>
          </w:p>
        </w:tc>
      </w:tr>
      <w:tr>
        <w:trPr>
          <w:cantSplit/>
        </w:trPr>
        <w:tc>
          <w:tcPr>
            <w:tcW w:type="dxa" w:w="2760"/>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color w:val="1F2D33"/>
                <w:sz w:val="17"/>
                <w:szCs w:val="17"/>
              </w:rPr>
              <w:t>Control window</w:t>
            </w:r>
          </w:p>
        </w:tc>
        <w:tc>
          <w:tcPr>
            <w:tcW w:type="dxa" w:w="7464"/>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val="0"/>
                <w:color w:val="1F2D33"/>
                <w:sz w:val="17"/>
                <w:szCs w:val="17"/>
              </w:rPr>
              <w:t>How much time remains between the error and a consequence that becomes difficult to correct?</w:t>
            </w:r>
          </w:p>
        </w:tc>
      </w:tr>
      <w:tr>
        <w:trPr>
          <w:cantSplit/>
        </w:trPr>
        <w:tc>
          <w:tcPr>
            <w:tcW w:type="dxa" w:w="2760"/>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Decisive divergence</w:t>
            </w:r>
          </w:p>
        </w:tc>
        <w:tc>
          <w:tcPr>
            <w:tcW w:type="dxa" w:w="7464"/>
            <w:vAlign w:val="center"/>
            <w:tcMar>
              <w:top w:w="65" w:type="dxa"/>
              <w:start w:w="120" w:type="dxa"/>
              <w:bottom w:w="65" w:type="dxa"/>
              <w:end w:w="120" w:type="dxa"/>
            </w:tcMar>
          </w:tcPr>
          <w:p>
            <w:pPr>
              <w:spacing w:after="0" w:line="210" w:lineRule="exact"/>
            </w:pPr>
            <w:r>
              <w:rPr>
                <w:rFonts w:ascii="EB Garamond" w:hAnsi="EB Garamond" w:eastAsia="EB Garamond" w:cs="EB Garamond"/>
                <w:b w:val="0"/>
                <w:color w:val="1F2D33"/>
                <w:sz w:val="17"/>
                <w:szCs w:val="17"/>
              </w:rPr>
              <w:t>What disagreement requires reopening the case or prevents the effect?</w:t>
            </w:r>
          </w:p>
        </w:tc>
      </w:tr>
      <w:tr>
        <w:trPr>
          <w:cantSplit/>
        </w:trPr>
        <w:tc>
          <w:tcPr>
            <w:tcW w:type="dxa" w:w="2760"/>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color w:val="1F2D33"/>
                <w:sz w:val="17"/>
                <w:szCs w:val="17"/>
              </w:rPr>
              <w:t>Stopping</w:t>
            </w:r>
          </w:p>
        </w:tc>
        <w:tc>
          <w:tcPr>
            <w:tcW w:type="dxa" w:w="7464"/>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val="0"/>
                <w:color w:val="1F2D33"/>
                <w:sz w:val="17"/>
                <w:szCs w:val="17"/>
              </w:rPr>
              <w:t>Who can stop the process, in response to what signal, and what service continues in degraded mode?</w:t>
            </w:r>
          </w:p>
        </w:tc>
      </w:tr>
      <w:tr>
        <w:trPr>
          <w:cantSplit/>
        </w:trPr>
        <w:tc>
          <w:tcPr>
            <w:tcW w:type="dxa" w:w="2760"/>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Exit</w:t>
            </w:r>
          </w:p>
        </w:tc>
        <w:tc>
          <w:tcPr>
            <w:tcW w:type="dxa" w:w="7464"/>
            <w:vAlign w:val="center"/>
            <w:tcMar>
              <w:top w:w="65" w:type="dxa"/>
              <w:start w:w="120" w:type="dxa"/>
              <w:bottom w:w="65" w:type="dxa"/>
              <w:end w:w="120" w:type="dxa"/>
            </w:tcMar>
          </w:tcPr>
          <w:p>
            <w:pPr>
              <w:spacing w:after="0" w:line="210" w:lineRule="exact"/>
            </w:pPr>
            <w:r>
              <w:rPr>
                <w:rFonts w:ascii="EB Garamond" w:hAnsi="EB Garamond" w:eastAsia="EB Garamond" w:cs="EB Garamond"/>
                <w:b w:val="0"/>
                <w:color w:val="1F2D33"/>
                <w:sz w:val="17"/>
                <w:szCs w:val="17"/>
              </w:rPr>
              <w:t>Can data, logs, configurations, and permissions be reconstructed without the primary service?</w:t>
            </w:r>
          </w:p>
        </w:tc>
      </w:tr>
    </w:tbl>
    <w:p>
      <w:pPr>
        <w:spacing w:after="0"/>
      </w:pPr>
    </w:p>
    <w:p>
      <w:pPr>
        <w:pStyle w:val="Heading1"/>
        <w:spacing w:line="460" w:lineRule="exact"/>
      </w:pPr>
      <w:r>
        <w:t>4. Case library</w:t>
        <w:rPr>
          <w:rFonts w:ascii="EB Garamond" w:hAnsi="EB Garamond" w:eastAsia="EB Garamond" w:cs="EB Garamond"/>
          <w:sz w:val="40"/>
          <w:szCs w:val="40"/>
          <w:color w:val="183445"/>
        </w:rPr>
      </w:r>
    </w:p>
    <w:p>
      <w:pPr>
        <w:keepLines w:val="0"/>
        <w:spacing w:line="270" w:lineRule="exact"/>
      </w:pPr>
      <w:r>
        <w:rPr>
          <w:rFonts w:ascii="EB Garamond" w:hAnsi="EB Garamond" w:eastAsia="EB Garamond" w:cs="EB Garamond"/>
          <w:color w:val="1F2D33"/>
          <w:sz w:val="21"/>
          <w:szCs w:val="21"/>
        </w:rPr>
        <w:t>Build a versioned library of realistic failures that goes beyond convenient samples. For each case, retain the legitimate outcome and what could disprove it, with the name of a competent person able to reconstruct it.</w:t>
      </w:r>
    </w:p>
    <w:tbl>
      <w:tblPr>
        <w:tblW w:type="dxa" w:w="10224"/>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2454"/>
        <w:gridCol w:w="7770"/>
      </w:tblGrid>
      <w:tr>
        <w:trPr>
          <w:tblHeader w:val="true"/>
          <w:cantSplit/>
        </w:trPr>
        <w:tc>
          <w:tcPr>
            <w:tcW w:type="dxa" w:w="2454"/>
            <w:vAlign w:val="center"/>
            <w:tcMar>
              <w:top w:w="90" w:type="dxa"/>
              <w:start w:w="120" w:type="dxa"/>
              <w:bottom w:w="90" w:type="dxa"/>
              <w:end w:w="120" w:type="dxa"/>
            </w:tcMar>
            <w:shd w:fill="123044"/>
          </w:tcPr>
          <w:p>
            <w:pPr>
              <w:spacing w:after="0" w:line="210" w:lineRule="exact"/>
            </w:pPr>
            <w:r>
              <w:rPr>
                <w:rFonts w:ascii="EB Garamond" w:hAnsi="EB Garamond" w:eastAsia="EB Garamond" w:cs="EB Garamond"/>
                <w:b/>
                <w:color w:val="FFFFFF"/>
                <w:sz w:val="17"/>
                <w:szCs w:val="17"/>
              </w:rPr>
              <w:t>Case family</w:t>
            </w:r>
          </w:p>
        </w:tc>
        <w:tc>
          <w:tcPr>
            <w:tcW w:type="dxa" w:w="7770"/>
            <w:vAlign w:val="center"/>
            <w:tcMar>
              <w:top w:w="90" w:type="dxa"/>
              <w:start w:w="120" w:type="dxa"/>
              <w:bottom w:w="90" w:type="dxa"/>
              <w:end w:w="120" w:type="dxa"/>
            </w:tcMar>
            <w:shd w:fill="123044"/>
          </w:tcPr>
          <w:p>
            <w:pPr>
              <w:spacing w:after="0" w:line="210" w:lineRule="exact"/>
            </w:pPr>
            <w:r>
              <w:rPr>
                <w:rFonts w:ascii="EB Garamond" w:hAnsi="EB Garamond" w:eastAsia="EB Garamond" w:cs="EB Garamond"/>
                <w:b/>
                <w:color w:val="FFFFFF"/>
                <w:sz w:val="17"/>
                <w:szCs w:val="17"/>
              </w:rPr>
              <w:t>What it must test</w:t>
            </w:r>
          </w:p>
        </w:tc>
      </w:tr>
      <w:tr>
        <w:trPr>
          <w:cantSplit/>
        </w:trPr>
        <w:tc>
          <w:tcPr>
            <w:tcW w:type="dxa" w:w="2454"/>
            <w:vAlign w:val="center"/>
            <w:tcMar>
              <w:top w:w="90" w:type="dxa"/>
              <w:start w:w="120" w:type="dxa"/>
              <w:bottom w:w="90" w:type="dxa"/>
              <w:end w:w="120" w:type="dxa"/>
            </w:tcMar>
          </w:tcPr>
          <w:p>
            <w:pPr>
              <w:spacing w:after="0" w:line="210" w:lineRule="exact"/>
            </w:pPr>
            <w:r>
              <w:rPr>
                <w:rFonts w:ascii="EB Garamond" w:hAnsi="EB Garamond" w:eastAsia="EB Garamond" w:cs="EB Garamond"/>
                <w:b/>
                <w:color w:val="1F2D33"/>
                <w:sz w:val="17"/>
                <w:szCs w:val="17"/>
              </w:rPr>
              <w:t>Ordinary case</w:t>
            </w:r>
          </w:p>
        </w:tc>
        <w:tc>
          <w:tcPr>
            <w:tcW w:type="dxa" w:w="7770"/>
            <w:vAlign w:val="center"/>
            <w:tcMar>
              <w:top w:w="90" w:type="dxa"/>
              <w:start w:w="120" w:type="dxa"/>
              <w:bottom w:w="90" w:type="dxa"/>
              <w:end w:w="120" w:type="dxa"/>
            </w:tcMar>
          </w:tcPr>
          <w:p>
            <w:pPr>
              <w:spacing w:after="0" w:line="210" w:lineRule="exact"/>
            </w:pPr>
            <w:r>
              <w:rPr>
                <w:rFonts w:ascii="EB Garamond" w:hAnsi="EB Garamond" w:eastAsia="EB Garamond" w:cs="EB Garamond"/>
                <w:b w:val="0"/>
                <w:color w:val="1F2D33"/>
                <w:sz w:val="17"/>
                <w:szCs w:val="17"/>
              </w:rPr>
              <w:t>Expected performance, actual time, and readability of the explanation.</w:t>
            </w:r>
          </w:p>
        </w:tc>
      </w:tr>
      <w:tr>
        <w:trPr>
          <w:cantSplit/>
        </w:trPr>
        <w:tc>
          <w:tcPr>
            <w:tcW w:type="dxa" w:w="2454"/>
            <w:vAlign w:val="center"/>
            <w:tcMar>
              <w:top w:w="90" w:type="dxa"/>
              <w:start w:w="120" w:type="dxa"/>
              <w:bottom w:w="90" w:type="dxa"/>
              <w:end w:w="120" w:type="dxa"/>
            </w:tcMar>
            <w:shd w:fill="EFF2F3"/>
          </w:tcPr>
          <w:p>
            <w:pPr>
              <w:spacing w:after="0" w:line="210" w:lineRule="exact"/>
            </w:pPr>
            <w:r>
              <w:rPr>
                <w:rFonts w:ascii="EB Garamond" w:hAnsi="EB Garamond" w:eastAsia="EB Garamond" w:cs="EB Garamond"/>
                <w:b/>
                <w:color w:val="1F2D33"/>
                <w:sz w:val="17"/>
                <w:szCs w:val="17"/>
              </w:rPr>
              <w:t>Edge case</w:t>
            </w:r>
          </w:p>
        </w:tc>
        <w:tc>
          <w:tcPr>
            <w:tcW w:type="dxa" w:w="7770"/>
            <w:vAlign w:val="center"/>
            <w:tcMar>
              <w:top w:w="90" w:type="dxa"/>
              <w:start w:w="120" w:type="dxa"/>
              <w:bottom w:w="90" w:type="dxa"/>
              <w:end w:w="120" w:type="dxa"/>
            </w:tcMar>
            <w:shd w:fill="EFF2F3"/>
          </w:tcPr>
          <w:p>
            <w:pPr>
              <w:spacing w:after="0" w:line="210" w:lineRule="exact"/>
            </w:pPr>
            <w:r>
              <w:rPr>
                <w:rFonts w:ascii="EB Garamond" w:hAnsi="EB Garamond" w:eastAsia="EB Garamond" w:cs="EB Garamond"/>
                <w:b w:val="0"/>
                <w:color w:val="1F2D33"/>
                <w:sz w:val="17"/>
                <w:szCs w:val="17"/>
              </w:rPr>
              <w:t>A rare but plausible condition capable of changing the outcome.</w:t>
            </w:r>
          </w:p>
        </w:tc>
      </w:tr>
      <w:tr>
        <w:trPr>
          <w:cantSplit/>
        </w:trPr>
        <w:tc>
          <w:tcPr>
            <w:tcW w:type="dxa" w:w="2454"/>
            <w:vAlign w:val="center"/>
            <w:tcMar>
              <w:top w:w="90" w:type="dxa"/>
              <w:start w:w="120" w:type="dxa"/>
              <w:bottom w:w="90" w:type="dxa"/>
              <w:end w:w="120" w:type="dxa"/>
            </w:tcMar>
          </w:tcPr>
          <w:p>
            <w:pPr>
              <w:spacing w:after="0" w:line="210" w:lineRule="exact"/>
            </w:pPr>
            <w:r>
              <w:rPr>
                <w:rFonts w:ascii="EB Garamond" w:hAnsi="EB Garamond" w:eastAsia="EB Garamond" w:cs="EB Garamond"/>
                <w:b/>
                <w:color w:val="1F2D33"/>
                <w:sz w:val="17"/>
                <w:szCs w:val="17"/>
              </w:rPr>
              <w:t>Incomplete data</w:t>
            </w:r>
          </w:p>
        </w:tc>
        <w:tc>
          <w:tcPr>
            <w:tcW w:type="dxa" w:w="7770"/>
            <w:vAlign w:val="center"/>
            <w:tcMar>
              <w:top w:w="90" w:type="dxa"/>
              <w:start w:w="120" w:type="dxa"/>
              <w:bottom w:w="90" w:type="dxa"/>
              <w:end w:w="120" w:type="dxa"/>
            </w:tcMar>
          </w:tcPr>
          <w:p>
            <w:pPr>
              <w:spacing w:after="0" w:line="210" w:lineRule="exact"/>
            </w:pPr>
            <w:r>
              <w:rPr>
                <w:rFonts w:ascii="EB Garamond" w:hAnsi="EB Garamond" w:eastAsia="EB Garamond" w:cs="EB Garamond"/>
                <w:b w:val="0"/>
                <w:color w:val="1F2D33"/>
                <w:sz w:val="17"/>
                <w:szCs w:val="17"/>
              </w:rPr>
              <w:t>Ability to recognize what is missing and prevent false confidence.</w:t>
            </w:r>
          </w:p>
        </w:tc>
      </w:tr>
      <w:tr>
        <w:trPr>
          <w:cantSplit/>
        </w:trPr>
        <w:tc>
          <w:tcPr>
            <w:tcW w:type="dxa" w:w="2454"/>
            <w:vAlign w:val="center"/>
            <w:tcMar>
              <w:top w:w="90" w:type="dxa"/>
              <w:start w:w="120" w:type="dxa"/>
              <w:bottom w:w="90" w:type="dxa"/>
              <w:end w:w="120" w:type="dxa"/>
            </w:tcMar>
            <w:shd w:fill="EFF2F3"/>
          </w:tcPr>
          <w:p>
            <w:pPr>
              <w:spacing w:after="0" w:line="210" w:lineRule="exact"/>
            </w:pPr>
            <w:r>
              <w:rPr>
                <w:rFonts w:ascii="EB Garamond" w:hAnsi="EB Garamond" w:eastAsia="EB Garamond" w:cs="EB Garamond"/>
                <w:b/>
                <w:color w:val="1F2D33"/>
                <w:sz w:val="17"/>
                <w:szCs w:val="17"/>
              </w:rPr>
              <w:t>Conflicting instructions</w:t>
            </w:r>
          </w:p>
        </w:tc>
        <w:tc>
          <w:tcPr>
            <w:tcW w:type="dxa" w:w="7770"/>
            <w:vAlign w:val="center"/>
            <w:tcMar>
              <w:top w:w="90" w:type="dxa"/>
              <w:start w:w="120" w:type="dxa"/>
              <w:bottom w:w="90" w:type="dxa"/>
              <w:end w:w="120" w:type="dxa"/>
            </w:tcMar>
            <w:shd w:fill="EFF2F3"/>
          </w:tcPr>
          <w:p>
            <w:pPr>
              <w:spacing w:after="0" w:line="210" w:lineRule="exact"/>
            </w:pPr>
            <w:r>
              <w:rPr>
                <w:rFonts w:ascii="EB Garamond" w:hAnsi="EB Garamond" w:eastAsia="EB Garamond" w:cs="EB Garamond"/>
                <w:b w:val="0"/>
                <w:color w:val="1F2D33"/>
                <w:sz w:val="17"/>
                <w:szCs w:val="17"/>
              </w:rPr>
              <w:t>Priority, escalation, and traceability of the rule applied.</w:t>
            </w:r>
          </w:p>
        </w:tc>
      </w:tr>
      <w:tr>
        <w:trPr>
          <w:cantSplit/>
        </w:trPr>
        <w:tc>
          <w:tcPr>
            <w:tcW w:type="dxa" w:w="2454"/>
            <w:vAlign w:val="center"/>
            <w:tcMar>
              <w:top w:w="90" w:type="dxa"/>
              <w:start w:w="120" w:type="dxa"/>
              <w:bottom w:w="90" w:type="dxa"/>
              <w:end w:w="120" w:type="dxa"/>
            </w:tcMar>
          </w:tcPr>
          <w:p>
            <w:pPr>
              <w:spacing w:after="0" w:line="210" w:lineRule="exact"/>
            </w:pPr>
            <w:r>
              <w:rPr>
                <w:rFonts w:ascii="EB Garamond" w:hAnsi="EB Garamond" w:eastAsia="EB Garamond" w:cs="EB Garamond"/>
                <w:b/>
                <w:color w:val="1F2D33"/>
                <w:sz w:val="17"/>
                <w:szCs w:val="17"/>
              </w:rPr>
              <w:t>Correlated error</w:t>
            </w:r>
          </w:p>
        </w:tc>
        <w:tc>
          <w:tcPr>
            <w:tcW w:type="dxa" w:w="7770"/>
            <w:vAlign w:val="center"/>
            <w:tcMar>
              <w:top w:w="90" w:type="dxa"/>
              <w:start w:w="120" w:type="dxa"/>
              <w:bottom w:w="90" w:type="dxa"/>
              <w:end w:w="120" w:type="dxa"/>
            </w:tcMar>
          </w:tcPr>
          <w:p>
            <w:pPr>
              <w:spacing w:after="0" w:line="210" w:lineRule="exact"/>
            </w:pPr>
            <w:r>
              <w:rPr>
                <w:rFonts w:ascii="EB Garamond" w:hAnsi="EB Garamond" w:eastAsia="EB Garamond" w:cs="EB Garamond"/>
                <w:b w:val="0"/>
                <w:color w:val="1F2D33"/>
                <w:sz w:val="17"/>
                <w:szCs w:val="17"/>
              </w:rPr>
              <w:t>A shared source, annotation, dependency, or metric that may mislead both systems.</w:t>
            </w:r>
          </w:p>
        </w:tc>
      </w:tr>
      <w:tr>
        <w:trPr>
          <w:cantSplit/>
        </w:trPr>
        <w:tc>
          <w:tcPr>
            <w:tcW w:type="dxa" w:w="2454"/>
            <w:vAlign w:val="center"/>
            <w:tcMar>
              <w:top w:w="90" w:type="dxa"/>
              <w:start w:w="120" w:type="dxa"/>
              <w:bottom w:w="90" w:type="dxa"/>
              <w:end w:w="120" w:type="dxa"/>
            </w:tcMar>
            <w:shd w:fill="EFF2F3"/>
          </w:tcPr>
          <w:p>
            <w:pPr>
              <w:spacing w:after="0" w:line="210" w:lineRule="exact"/>
            </w:pPr>
            <w:r>
              <w:rPr>
                <w:rFonts w:ascii="EB Garamond" w:hAnsi="EB Garamond" w:eastAsia="EB Garamond" w:cs="EB Garamond"/>
                <w:b/>
                <w:color w:val="1F2D33"/>
                <w:sz w:val="17"/>
                <w:szCs w:val="17"/>
              </w:rPr>
              <w:t>Overload</w:t>
            </w:r>
          </w:p>
        </w:tc>
        <w:tc>
          <w:tcPr>
            <w:tcW w:type="dxa" w:w="7770"/>
            <w:vAlign w:val="center"/>
            <w:tcMar>
              <w:top w:w="90" w:type="dxa"/>
              <w:start w:w="120" w:type="dxa"/>
              <w:bottom w:w="90" w:type="dxa"/>
              <w:end w:w="120" w:type="dxa"/>
            </w:tcMar>
            <w:shd w:fill="EFF2F3"/>
          </w:tcPr>
          <w:p>
            <w:pPr>
              <w:spacing w:after="0" w:line="210" w:lineRule="exact"/>
            </w:pPr>
            <w:r>
              <w:rPr>
                <w:rFonts w:ascii="EB Garamond" w:hAnsi="EB Garamond" w:eastAsia="EB Garamond" w:cs="EB Garamond"/>
                <w:b w:val="0"/>
                <w:color w:val="1F2D33"/>
                <w:sz w:val="17"/>
                <w:szCs w:val="17"/>
              </w:rPr>
              <w:t>Concurrency, attention, and reviewer capacity under the expected volume.</w:t>
            </w:r>
          </w:p>
        </w:tc>
      </w:tr>
      <w:tr>
        <w:trPr>
          <w:cantSplit/>
        </w:trPr>
        <w:tc>
          <w:tcPr>
            <w:tcW w:type="dxa" w:w="2454"/>
            <w:vAlign w:val="center"/>
            <w:tcMar>
              <w:top w:w="90" w:type="dxa"/>
              <w:start w:w="120" w:type="dxa"/>
              <w:bottom w:w="90" w:type="dxa"/>
              <w:end w:w="120" w:type="dxa"/>
            </w:tcMar>
          </w:tcPr>
          <w:p>
            <w:pPr>
              <w:spacing w:after="0" w:line="210" w:lineRule="exact"/>
            </w:pPr>
            <w:r>
              <w:rPr>
                <w:rFonts w:ascii="EB Garamond" w:hAnsi="EB Garamond" w:eastAsia="EB Garamond" w:cs="EB Garamond"/>
                <w:b/>
                <w:color w:val="1F2D33"/>
                <w:sz w:val="17"/>
                <w:szCs w:val="17"/>
              </w:rPr>
              <w:t>Unavailability</w:t>
            </w:r>
          </w:p>
        </w:tc>
        <w:tc>
          <w:tcPr>
            <w:tcW w:type="dxa" w:w="7770"/>
            <w:vAlign w:val="center"/>
            <w:tcMar>
              <w:top w:w="90" w:type="dxa"/>
              <w:start w:w="120" w:type="dxa"/>
              <w:bottom w:w="90" w:type="dxa"/>
              <w:end w:w="120" w:type="dxa"/>
            </w:tcMar>
          </w:tcPr>
          <w:p>
            <w:pPr>
              <w:spacing w:after="0" w:line="210" w:lineRule="exact"/>
            </w:pPr>
            <w:r>
              <w:rPr>
                <w:rFonts w:ascii="EB Garamond" w:hAnsi="EB Garamond" w:eastAsia="EB Garamond" w:cs="EB Garamond"/>
                <w:b w:val="0"/>
                <w:color w:val="1F2D33"/>
                <w:sz w:val="17"/>
                <w:szCs w:val="17"/>
              </w:rPr>
              <w:t>Degraded mode, continuity, recovery, and costs shifted to users and staff.</w:t>
            </w:r>
          </w:p>
        </w:tc>
      </w:tr>
      <w:tr>
        <w:trPr>
          <w:cantSplit/>
        </w:trPr>
        <w:tc>
          <w:tcPr>
            <w:tcW w:type="dxa" w:w="2454"/>
            <w:vAlign w:val="center"/>
            <w:tcMar>
              <w:top w:w="90" w:type="dxa"/>
              <w:start w:w="120" w:type="dxa"/>
              <w:bottom w:w="90" w:type="dxa"/>
              <w:end w:w="120" w:type="dxa"/>
            </w:tcMar>
            <w:shd w:fill="EFF2F3"/>
          </w:tcPr>
          <w:p>
            <w:pPr>
              <w:spacing w:after="0" w:line="210" w:lineRule="exact"/>
            </w:pPr>
            <w:r>
              <w:rPr>
                <w:rFonts w:ascii="EB Garamond" w:hAnsi="EB Garamond" w:eastAsia="EB Garamond" w:cs="EB Garamond"/>
                <w:b/>
                <w:color w:val="1F2D33"/>
                <w:sz w:val="17"/>
                <w:szCs w:val="17"/>
              </w:rPr>
              <w:t>Exit</w:t>
            </w:r>
          </w:p>
        </w:tc>
        <w:tc>
          <w:tcPr>
            <w:tcW w:type="dxa" w:w="7770"/>
            <w:vAlign w:val="center"/>
            <w:tcMar>
              <w:top w:w="90" w:type="dxa"/>
              <w:start w:w="120" w:type="dxa"/>
              <w:bottom w:w="90" w:type="dxa"/>
              <w:end w:w="120" w:type="dxa"/>
            </w:tcMar>
            <w:shd w:fill="EFF2F3"/>
          </w:tcPr>
          <w:p>
            <w:pPr>
              <w:spacing w:after="0" w:line="210" w:lineRule="exact"/>
            </w:pPr>
            <w:r>
              <w:rPr>
                <w:rFonts w:ascii="EB Garamond" w:hAnsi="EB Garamond" w:eastAsia="EB Garamond" w:cs="EB Garamond"/>
                <w:b w:val="0"/>
                <w:color w:val="1F2D33"/>
                <w:sz w:val="17"/>
                <w:szCs w:val="17"/>
              </w:rPr>
              <w:t>Reopening a case outside the primary service with working permissions and configurations.</w:t>
            </w:r>
          </w:p>
        </w:tc>
      </w:tr>
    </w:tbl>
    <w:p>
      <w:pPr>
        <w:spacing w:after="0"/>
      </w:pPr>
    </w:p>
    <w:p>
      <w:pPr>
        <w:pStyle w:val="Heading1"/>
        <w:spacing w:line="460" w:lineRule="exact"/>
      </w:pPr>
      <w:r>
        <w:t>5. Phased procedure</w:t>
        <w:rPr>
          <w:rFonts w:ascii="EB Garamond" w:hAnsi="EB Garamond" w:eastAsia="EB Garamond" w:cs="EB Garamond"/>
          <w:sz w:val="40"/>
          <w:szCs w:val="40"/>
          <w:color w:val="183445"/>
        </w:rPr>
      </w:r>
    </w:p>
    <w:p>
      <w:pPr>
        <w:pStyle w:val="Heading2"/>
        <w:spacing w:line="360" w:lineRule="exact"/>
      </w:pPr>
      <w:r>
        <w:t>Phase 0 - Preparation</w:t>
        <w:rPr>
          <w:rFonts w:ascii="EB Garamond" w:hAnsi="EB Garamond" w:eastAsia="EB Garamond" w:cs="EB Garamond"/>
          <w:sz w:val="30"/>
          <w:szCs w:val="30"/>
          <w:color w:val="B04A35"/>
        </w:rPr>
      </w:r>
    </w:p>
    <w:p>
      <w:pPr>
        <w:keepLines w:val="0"/>
        <w:spacing w:line="270" w:lineRule="exact"/>
      </w:pPr>
      <w:r>
        <w:rPr>
          <w:rFonts w:ascii="EB Garamond" w:hAnsi="EB Garamond" w:eastAsia="EB Garamond" w:cs="EB Garamond"/>
          <w:color w:val="1F2D33"/>
          <w:sz w:val="21"/>
          <w:szCs w:val="21"/>
        </w:rPr>
        <w:t>Complete Purpose, Mandate, Evidence, Distribution, Harm, Redress, and Exit. Record the human benchmark and each task’s mode, level, and risk. Before seeing either system’s performance, define the decisive divergence and stop threshold, with degraded mode and prohibited data recorded in advance.</w:t>
      </w:r>
    </w:p>
    <w:p>
      <w:pPr>
        <w:pStyle w:val="Heading2"/>
        <w:spacing w:line="360" w:lineRule="exact"/>
      </w:pPr>
      <w:r>
        <w:t>Phase 1 - Separate shadow mode</w:t>
        <w:rPr>
          <w:rFonts w:ascii="EB Garamond" w:hAnsi="EB Garamond" w:eastAsia="EB Garamond" w:cs="EB Garamond"/>
          <w:sz w:val="30"/>
          <w:szCs w:val="30"/>
          <w:color w:val="B04A35"/>
        </w:rPr>
      </w:r>
    </w:p>
    <w:p>
      <w:pPr>
        <w:keepLines w:val="0"/>
        <w:spacing w:line="270" w:lineRule="exact"/>
      </w:pPr>
      <w:r>
        <w:rPr>
          <w:rFonts w:ascii="EB Garamond" w:hAnsi="EB Garamond" w:eastAsia="EB Garamond" w:cs="EB Garamond"/>
          <w:color w:val="1F2D33"/>
          <w:sz w:val="21"/>
          <w:szCs w:val="21"/>
        </w:rPr>
        <w:t>A and B observe the same cases without external effects. Inputs, versions, outputs, sources, and logs remain separate. A person compares decisive points, not merely linguistic similarity.</w:t>
      </w:r>
    </w:p>
    <w:p>
      <w:pPr>
        <w:pStyle w:val="Heading2"/>
        <w:spacing w:line="360" w:lineRule="exact"/>
      </w:pPr>
      <w:r>
        <w:t>Phase 2 - Correlated errors</w:t>
        <w:rPr>
          <w:rFonts w:ascii="EB Garamond" w:hAnsi="EB Garamond" w:eastAsia="EB Garamond" w:cs="EB Garamond"/>
          <w:sz w:val="30"/>
          <w:szCs w:val="30"/>
          <w:color w:val="B04A35"/>
        </w:rPr>
      </w:r>
    </w:p>
    <w:p>
      <w:pPr>
        <w:keepLines w:val="0"/>
        <w:spacing w:line="270" w:lineRule="exact"/>
      </w:pPr>
      <w:r>
        <w:rPr>
          <w:rFonts w:ascii="EB Garamond" w:hAnsi="EB Garamond" w:eastAsia="EB Garamond" w:cs="EB Garamond"/>
          <w:color w:val="1F2D33"/>
          <w:sz w:val="21"/>
          <w:szCs w:val="21"/>
        </w:rPr>
        <w:t>Introduce defective common sources, missing data, rare exceptions, conflicting instructions, shared components, and unavailability. Verify whether agreement hides a common dependency.</w:t>
      </w:r>
    </w:p>
    <w:p>
      <w:pPr>
        <w:pStyle w:val="Heading2"/>
        <w:spacing w:line="360" w:lineRule="exact"/>
      </w:pPr>
      <w:r>
        <w:t>Phase 3 - Reconstructability under load</w:t>
        <w:rPr>
          <w:rFonts w:ascii="EB Garamond" w:hAnsi="EB Garamond" w:eastAsia="EB Garamond" w:cs="EB Garamond"/>
          <w:sz w:val="30"/>
          <w:szCs w:val="30"/>
          <w:color w:val="B04A35"/>
        </w:rPr>
      </w:r>
    </w:p>
    <w:p>
      <w:pPr>
        <w:keepLines w:val="0"/>
        <w:spacing w:line="270" w:lineRule="exact"/>
      </w:pPr>
      <w:r>
        <w:rPr>
          <w:rFonts w:ascii="EB Garamond" w:hAnsi="EB Garamond" w:eastAsia="EB Garamond" w:cs="EB Garamond"/>
          <w:color w:val="1F2D33"/>
          <w:sz w:val="21"/>
          <w:szCs w:val="21"/>
        </w:rPr>
        <w:t>Repeat the test at the expected volume and concurrency. Measure performance, time to harm, detection and restoration, and missed interventions. Check explanations and residual competence, disparities, and concentration of power. Confirm that the reviewer can reconstruct the decisive point, compare the alternative, and stop before harm occurs.</w:t>
      </w:r>
    </w:p>
    <w:p>
      <w:pPr>
        <w:pStyle w:val="Heading2"/>
        <w:spacing w:line="360" w:lineRule="exact"/>
      </w:pPr>
      <w:r>
        <w:t>Phase 4 - Limited and reversible volume</w:t>
        <w:rPr>
          <w:rFonts w:ascii="EB Garamond" w:hAnsi="EB Garamond" w:eastAsia="EB Garamond" w:cs="EB Garamond"/>
          <w:sz w:val="30"/>
          <w:szCs w:val="30"/>
          <w:color w:val="B04A35"/>
        </w:rPr>
      </w:r>
    </w:p>
    <w:p>
      <w:pPr>
        <w:keepLines w:val="0"/>
        <w:spacing w:line="270" w:lineRule="exact"/>
      </w:pPr>
      <w:r>
        <w:rPr>
          <w:rFonts w:ascii="EB Garamond" w:hAnsi="EB Garamond" w:eastAsia="EB Garamond" w:cs="EB Garamond"/>
          <w:color w:val="1F2D33"/>
          <w:sz w:val="21"/>
          <w:szCs w:val="21"/>
        </w:rPr>
        <w:t>Only if the earlier phases hold, use a narrow scope with reversible effects, complete logs, a reachable person, and immediate stopping. A favorable average does not automatically authorize expansion.</w:t>
      </w:r>
    </w:p>
    <w:p>
      <w:pPr>
        <w:pStyle w:val="Heading2"/>
        <w:spacing w:line="360" w:lineRule="exact"/>
      </w:pPr>
      <w:r>
        <w:t>Phase 5 - Exit and review</w:t>
        <w:rPr>
          <w:rFonts w:ascii="EB Garamond" w:hAnsi="EB Garamond" w:eastAsia="EB Garamond" w:cs="EB Garamond"/>
          <w:sz w:val="30"/>
          <w:szCs w:val="30"/>
          <w:color w:val="B04A35"/>
        </w:rPr>
      </w:r>
    </w:p>
    <w:p>
      <w:pPr>
        <w:keepLines w:val="0"/>
        <w:spacing w:line="270" w:lineRule="exact"/>
      </w:pPr>
      <w:r>
        <w:rPr>
          <w:rFonts w:ascii="EB Garamond" w:hAnsi="EB Garamond" w:eastAsia="EB Garamond" w:cs="EB Garamond"/>
          <w:color w:val="1F2D33"/>
          <w:sz w:val="21"/>
          <w:szCs w:val="21"/>
        </w:rPr>
        <w:t>Export and reopen a case with data, configurations, and permissions outside the primary service. Give every authorization an expiration date and thresholds for suspension and return. Review when the model, data, provider, scale, task, or responsible people change, or at the stated deadline. Ensure that affected people know the Mandate and can challenge the outcome. Examine failures and costs before expanding the scope.</w:t>
      </w:r>
    </w:p>
    <w:p>
      <w:pPr>
        <w:spacing w:after="480" w:line="270" w:lineRule="exact"/>
      </w:pPr>
      <w:r>
        <w:t xml:space="preserve"> </w:t>
        <w:rPr>
          <w:rFonts w:ascii="EB Garamond" w:hAnsi="EB Garamond" w:eastAsia="EB Garamond" w:cs="EB Garamond"/>
          <w:sz w:val="21"/>
          <w:szCs w:val="21"/>
        </w:rPr>
      </w:r>
    </w:p>
    <w:p>
      <w:pPr>
        <w:pStyle w:val="Heading1"/>
        <w:spacing w:line="460" w:lineRule="exact"/>
      </w:pPr>
      <w:r>
        <w:t>6. Conditions specific to two-system review</w:t>
        <w:rPr>
          <w:rFonts w:ascii="EB Garamond" w:hAnsi="EB Garamond" w:eastAsia="EB Garamond" w:cs="EB Garamond"/>
          <w:sz w:val="40"/>
          <w:szCs w:val="40"/>
          <w:color w:val="183445"/>
        </w:rPr>
      </w:r>
    </w:p>
    <w:tbl>
      <w:tblPr>
        <w:tblW w:type="dxa" w:w="10224"/>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3067"/>
        <w:gridCol w:w="7157"/>
      </w:tblGrid>
      <w:tr>
        <w:trPr>
          <w:tblHeader w:val="true"/>
          <w:cantSplit/>
        </w:trPr>
        <w:tc>
          <w:tcPr>
            <w:tcW w:type="dxa" w:w="3067"/>
            <w:vAlign w:val="center"/>
            <w:tcMar>
              <w:top w:w="90" w:type="dxa"/>
              <w:start w:w="120" w:type="dxa"/>
              <w:bottom w:w="90" w:type="dxa"/>
              <w:end w:w="120" w:type="dxa"/>
            </w:tcMar>
            <w:shd w:fill="123044"/>
          </w:tcPr>
          <w:p>
            <w:pPr>
              <w:spacing w:after="0" w:line="210" w:lineRule="exact"/>
            </w:pPr>
            <w:r>
              <w:rPr>
                <w:rFonts w:ascii="EB Garamond" w:hAnsi="EB Garamond" w:eastAsia="EB Garamond" w:cs="EB Garamond"/>
                <w:b/>
                <w:color w:val="FFFFFF"/>
                <w:sz w:val="17"/>
                <w:szCs w:val="17"/>
              </w:rPr>
              <w:t>Condition</w:t>
            </w:r>
          </w:p>
        </w:tc>
        <w:tc>
          <w:tcPr>
            <w:tcW w:type="dxa" w:w="7157"/>
            <w:vAlign w:val="center"/>
            <w:tcMar>
              <w:top w:w="90" w:type="dxa"/>
              <w:start w:w="120" w:type="dxa"/>
              <w:bottom w:w="90" w:type="dxa"/>
              <w:end w:w="120" w:type="dxa"/>
            </w:tcMar>
            <w:shd w:fill="123044"/>
          </w:tcPr>
          <w:p>
            <w:pPr>
              <w:spacing w:after="0" w:line="210" w:lineRule="exact"/>
            </w:pPr>
            <w:r>
              <w:rPr>
                <w:rFonts w:ascii="EB Garamond" w:hAnsi="EB Garamond" w:eastAsia="EB Garamond" w:cs="EB Garamond"/>
                <w:b/>
                <w:color w:val="FFFFFF"/>
                <w:sz w:val="17"/>
                <w:szCs w:val="17"/>
              </w:rPr>
              <w:t>Required test</w:t>
            </w:r>
          </w:p>
        </w:tc>
      </w:tr>
      <w:tr>
        <w:trPr>
          <w:cantSplit/>
        </w:trPr>
        <w:tc>
          <w:tcPr>
            <w:tcW w:type="dxa" w:w="3067"/>
            <w:vAlign w:val="center"/>
            <w:tcMar>
              <w:top w:w="90" w:type="dxa"/>
              <w:start w:w="120" w:type="dxa"/>
              <w:bottom w:w="90" w:type="dxa"/>
              <w:end w:w="120" w:type="dxa"/>
            </w:tcMar>
          </w:tcPr>
          <w:p>
            <w:pPr>
              <w:spacing w:after="0" w:line="210" w:lineRule="exact"/>
            </w:pPr>
            <w:r>
              <w:rPr>
                <w:rFonts w:ascii="EB Garamond" w:hAnsi="EB Garamond" w:eastAsia="EB Garamond" w:cs="EB Garamond"/>
                <w:b/>
                <w:color w:val="1F2D33"/>
                <w:sz w:val="17"/>
                <w:szCs w:val="17"/>
              </w:rPr>
              <w:t>Effective independence</w:t>
            </w:r>
          </w:p>
        </w:tc>
        <w:tc>
          <w:tcPr>
            <w:tcW w:type="dxa" w:w="7157"/>
            <w:vAlign w:val="center"/>
            <w:tcMar>
              <w:top w:w="90" w:type="dxa"/>
              <w:start w:w="120" w:type="dxa"/>
              <w:bottom w:w="90" w:type="dxa"/>
              <w:end w:w="120" w:type="dxa"/>
            </w:tcMar>
          </w:tcPr>
          <w:p>
            <w:pPr>
              <w:spacing w:after="0" w:line="210" w:lineRule="exact"/>
            </w:pPr>
            <w:r>
              <w:rPr>
                <w:rFonts w:ascii="EB Garamond" w:hAnsi="EB Garamond" w:eastAsia="EB Garamond" w:cs="EB Garamond"/>
                <w:b w:val="0"/>
                <w:color w:val="1F2D33"/>
                <w:sz w:val="17"/>
                <w:szCs w:val="17"/>
              </w:rPr>
              <w:t>Demonstrate separation or relevant differences in sources, data, objectives, and logs. A different name, model, or provider is not enough.</w:t>
            </w:r>
          </w:p>
        </w:tc>
      </w:tr>
      <w:tr>
        <w:trPr>
          <w:cantSplit/>
        </w:trPr>
        <w:tc>
          <w:tcPr>
            <w:tcW w:type="dxa" w:w="3067"/>
            <w:vAlign w:val="center"/>
            <w:tcMar>
              <w:top w:w="90" w:type="dxa"/>
              <w:start w:w="120" w:type="dxa"/>
              <w:bottom w:w="90" w:type="dxa"/>
              <w:end w:w="120" w:type="dxa"/>
            </w:tcMar>
            <w:shd w:fill="EFF2F3"/>
          </w:tcPr>
          <w:p>
            <w:pPr>
              <w:spacing w:after="0" w:line="210" w:lineRule="exact"/>
            </w:pPr>
            <w:r>
              <w:rPr>
                <w:rFonts w:ascii="EB Garamond" w:hAnsi="EB Garamond" w:eastAsia="EB Garamond" w:cs="EB Garamond"/>
                <w:b/>
                <w:color w:val="1F2D33"/>
                <w:sz w:val="17"/>
                <w:szCs w:val="17"/>
              </w:rPr>
              <w:t>Correlated errors</w:t>
            </w:r>
          </w:p>
        </w:tc>
        <w:tc>
          <w:tcPr>
            <w:tcW w:type="dxa" w:w="7157"/>
            <w:vAlign w:val="center"/>
            <w:tcMar>
              <w:top w:w="90" w:type="dxa"/>
              <w:start w:w="120" w:type="dxa"/>
              <w:bottom w:w="90" w:type="dxa"/>
              <w:end w:w="120" w:type="dxa"/>
            </w:tcMar>
            <w:shd w:fill="EFF2F3"/>
          </w:tcPr>
          <w:p>
            <w:pPr>
              <w:spacing w:after="0" w:line="210" w:lineRule="exact"/>
            </w:pPr>
            <w:r>
              <w:rPr>
                <w:rFonts w:ascii="EB Garamond" w:hAnsi="EB Garamond" w:eastAsia="EB Garamond" w:cs="EB Garamond"/>
                <w:b w:val="0"/>
                <w:color w:val="1F2D33"/>
                <w:sz w:val="17"/>
                <w:szCs w:val="17"/>
              </w:rPr>
              <w:t>Look for shared defects: common sources, identical annotations and metrics, common dependencies, incomplete data, conflicting instructions, overload, and unavailability. Agreement can still be wrong in the same way.</w:t>
            </w:r>
          </w:p>
        </w:tc>
      </w:tr>
      <w:tr>
        <w:trPr>
          <w:cantSplit/>
        </w:trPr>
        <w:tc>
          <w:tcPr>
            <w:tcW w:type="dxa" w:w="3067"/>
            <w:vAlign w:val="center"/>
            <w:tcMar>
              <w:top w:w="90" w:type="dxa"/>
              <w:start w:w="120" w:type="dxa"/>
              <w:bottom w:w="90" w:type="dxa"/>
              <w:end w:w="120" w:type="dxa"/>
            </w:tcMar>
          </w:tcPr>
          <w:p>
            <w:pPr>
              <w:spacing w:after="0" w:line="210" w:lineRule="exact"/>
            </w:pPr>
            <w:r>
              <w:rPr>
                <w:rFonts w:ascii="EB Garamond" w:hAnsi="EB Garamond" w:eastAsia="EB Garamond" w:cs="EB Garamond"/>
                <w:b/>
                <w:color w:val="1F2D33"/>
                <w:sz w:val="17"/>
                <w:szCs w:val="17"/>
              </w:rPr>
              <w:t>Decisive divergence</w:t>
            </w:r>
          </w:p>
        </w:tc>
        <w:tc>
          <w:tcPr>
            <w:tcW w:type="dxa" w:w="7157"/>
            <w:vAlign w:val="center"/>
            <w:tcMar>
              <w:top w:w="90" w:type="dxa"/>
              <w:start w:w="120" w:type="dxa"/>
              <w:bottom w:w="90" w:type="dxa"/>
              <w:end w:w="120" w:type="dxa"/>
            </w:tcMar>
          </w:tcPr>
          <w:p>
            <w:pPr>
              <w:spacing w:after="0" w:line="210" w:lineRule="exact"/>
            </w:pPr>
            <w:r>
              <w:rPr>
                <w:rFonts w:ascii="EB Garamond" w:hAnsi="EB Garamond" w:eastAsia="EB Garamond" w:cs="EB Garamond"/>
                <w:b w:val="0"/>
                <w:color w:val="1F2D33"/>
                <w:sz w:val="17"/>
                <w:szCs w:val="17"/>
              </w:rPr>
              <w:t>Define in advance which disagreement may change the outcome; keep inputs, versions, outputs, and logs separate. Do not average scores or confidence to turn disagreement into authorization.</w:t>
            </w:r>
          </w:p>
        </w:tc>
      </w:tr>
      <w:tr>
        <w:trPr>
          <w:cantSplit/>
        </w:trPr>
        <w:tc>
          <w:tcPr>
            <w:tcW w:type="dxa" w:w="3067"/>
            <w:vAlign w:val="center"/>
            <w:tcMar>
              <w:top w:w="90" w:type="dxa"/>
              <w:start w:w="120" w:type="dxa"/>
              <w:bottom w:w="90" w:type="dxa"/>
              <w:end w:w="120" w:type="dxa"/>
            </w:tcMar>
            <w:shd w:fill="EFF2F3"/>
          </w:tcPr>
          <w:p>
            <w:pPr>
              <w:spacing w:after="0" w:line="210" w:lineRule="exact"/>
            </w:pPr>
            <w:r>
              <w:rPr>
                <w:rFonts w:ascii="EB Garamond" w:hAnsi="EB Garamond" w:eastAsia="EB Garamond" w:cs="EB Garamond"/>
                <w:b/>
                <w:color w:val="1F2D33"/>
                <w:sz w:val="17"/>
                <w:szCs w:val="17"/>
              </w:rPr>
              <w:t>Predefined stopping</w:t>
            </w:r>
          </w:p>
        </w:tc>
        <w:tc>
          <w:tcPr>
            <w:tcW w:type="dxa" w:w="7157"/>
            <w:vAlign w:val="center"/>
            <w:tcMar>
              <w:top w:w="90" w:type="dxa"/>
              <w:start w:w="120" w:type="dxa"/>
              <w:bottom w:w="90" w:type="dxa"/>
              <w:end w:w="120" w:type="dxa"/>
            </w:tcMar>
            <w:shd w:fill="EFF2F3"/>
          </w:tcPr>
          <w:p>
            <w:pPr>
              <w:spacing w:after="0" w:line="210" w:lineRule="exact"/>
            </w:pPr>
            <w:r>
              <w:rPr>
                <w:rFonts w:ascii="EB Garamond" w:hAnsi="EB Garamond" w:eastAsia="EB Garamond" w:cs="EB Garamond"/>
                <w:b w:val="0"/>
                <w:color w:val="1F2D33"/>
                <w:sz w:val="17"/>
                <w:szCs w:val="17"/>
              </w:rPr>
              <w:t>If a decisive divergence cannot be reconstructed within the control window, apply the written consequence: narrow the Mandate, move to degraded mode, Do not delegate before launch, or Stop active use.</w:t>
            </w:r>
          </w:p>
        </w:tc>
      </w:tr>
    </w:tbl>
    <w:p>
      <w:pPr>
        <w:spacing w:after="0"/>
      </w:pPr>
    </w:p>
    <w:p>
      <w:pPr>
        <w:pStyle w:val="Heading1"/>
        <w:spacing w:line="460" w:lineRule="exact"/>
      </w:pPr>
      <w:r>
        <w:t>7. Minimum log</w:t>
        <w:rPr>
          <w:rFonts w:ascii="EB Garamond" w:hAnsi="EB Garamond" w:eastAsia="EB Garamond" w:cs="EB Garamond"/>
          <w:sz w:val="40"/>
          <w:szCs w:val="40"/>
          <w:color w:val="183445"/>
        </w:rPr>
      </w:r>
    </w:p>
    <w:tbl>
      <w:tblPr>
        <w:tblW w:type="dxa" w:w="10224"/>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2658"/>
        <w:gridCol w:w="7566"/>
      </w:tblGrid>
      <w:tr>
        <w:trPr>
          <w:tblHeader w:val="true"/>
          <w:cantSplit/>
        </w:trPr>
        <w:tc>
          <w:tcPr>
            <w:tcW w:type="dxa" w:w="2658"/>
            <w:vAlign w:val="center"/>
            <w:tcMar>
              <w:top w:w="65" w:type="dxa"/>
              <w:start w:w="120" w:type="dxa"/>
              <w:bottom w:w="65" w:type="dxa"/>
              <w:end w:w="120" w:type="dxa"/>
            </w:tcMar>
            <w:shd w:fill="123044"/>
          </w:tcPr>
          <w:p>
            <w:pPr>
              <w:spacing w:after="0" w:line="210" w:lineRule="exact"/>
            </w:pPr>
            <w:r>
              <w:rPr>
                <w:rFonts w:ascii="EB Garamond" w:hAnsi="EB Garamond" w:eastAsia="EB Garamond" w:cs="EB Garamond"/>
                <w:b/>
                <w:color w:val="FFFFFF"/>
                <w:sz w:val="17"/>
                <w:szCs w:val="17"/>
              </w:rPr>
              <w:t>Log field</w:t>
            </w:r>
          </w:p>
        </w:tc>
        <w:tc>
          <w:tcPr>
            <w:tcW w:type="dxa" w:w="7566"/>
            <w:vAlign w:val="center"/>
            <w:tcMar>
              <w:top w:w="65" w:type="dxa"/>
              <w:start w:w="120" w:type="dxa"/>
              <w:bottom w:w="65" w:type="dxa"/>
              <w:end w:w="120" w:type="dxa"/>
            </w:tcMar>
            <w:shd w:fill="123044"/>
          </w:tcPr>
          <w:p>
            <w:pPr>
              <w:spacing w:after="0" w:line="210" w:lineRule="exact"/>
            </w:pPr>
            <w:r>
              <w:rPr>
                <w:rFonts w:ascii="EB Garamond" w:hAnsi="EB Garamond" w:eastAsia="EB Garamond" w:cs="EB Garamond"/>
                <w:b/>
                <w:color w:val="FFFFFF"/>
                <w:sz w:val="17"/>
                <w:szCs w:val="17"/>
              </w:rPr>
              <w:t>Content to retain</w:t>
            </w:r>
          </w:p>
        </w:tc>
      </w:tr>
      <w:tr>
        <w:trPr>
          <w:cantSplit/>
        </w:trPr>
        <w:tc>
          <w:tcPr>
            <w:tcW w:type="dxa" w:w="2658"/>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Identification</w:t>
            </w:r>
          </w:p>
        </w:tc>
        <w:tc>
          <w:tcPr>
            <w:tcW w:type="dxa" w:w="7566"/>
            <w:vAlign w:val="center"/>
            <w:tcMar>
              <w:top w:w="65" w:type="dxa"/>
              <w:start w:w="120" w:type="dxa"/>
              <w:bottom w:w="65" w:type="dxa"/>
              <w:end w:w="120" w:type="dxa"/>
            </w:tcMar>
          </w:tcPr>
          <w:p>
            <w:pPr>
              <w:spacing w:after="0" w:line="210" w:lineRule="exact"/>
            </w:pPr>
            <w:r>
              <w:rPr>
                <w:rFonts w:ascii="EB Garamond" w:hAnsi="EB Garamond" w:eastAsia="EB Garamond" w:cs="EB Garamond"/>
                <w:b w:val="0"/>
                <w:color w:val="1F2D33"/>
                <w:sz w:val="17"/>
                <w:szCs w:val="17"/>
              </w:rPr>
              <w:t>Case, date, owner, version A, version B, configurations, and sources.</w:t>
            </w:r>
          </w:p>
        </w:tc>
      </w:tr>
      <w:tr>
        <w:trPr>
          <w:cantSplit/>
        </w:trPr>
        <w:tc>
          <w:tcPr>
            <w:tcW w:type="dxa" w:w="2658"/>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color w:val="1F2D33"/>
                <w:sz w:val="17"/>
                <w:szCs w:val="17"/>
              </w:rPr>
              <w:t>Separate inputs</w:t>
            </w:r>
          </w:p>
        </w:tc>
        <w:tc>
          <w:tcPr>
            <w:tcW w:type="dxa" w:w="7566"/>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val="0"/>
                <w:color w:val="1F2D33"/>
                <w:sz w:val="17"/>
                <w:szCs w:val="17"/>
              </w:rPr>
              <w:t>Data available to each system, excluded elements, and transformations applied.</w:t>
            </w:r>
          </w:p>
        </w:tc>
      </w:tr>
      <w:tr>
        <w:trPr>
          <w:cantSplit/>
        </w:trPr>
        <w:tc>
          <w:tcPr>
            <w:tcW w:type="dxa" w:w="2658"/>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Separate outputs</w:t>
            </w:r>
          </w:p>
        </w:tc>
        <w:tc>
          <w:tcPr>
            <w:tcW w:type="dxa" w:w="7566"/>
            <w:vAlign w:val="center"/>
            <w:tcMar>
              <w:top w:w="65" w:type="dxa"/>
              <w:start w:w="120" w:type="dxa"/>
              <w:bottom w:w="65" w:type="dxa"/>
              <w:end w:w="120" w:type="dxa"/>
            </w:tcMar>
          </w:tcPr>
          <w:p>
            <w:pPr>
              <w:spacing w:after="0" w:line="210" w:lineRule="exact"/>
            </w:pPr>
            <w:r>
              <w:rPr>
                <w:rFonts w:ascii="EB Garamond" w:hAnsi="EB Garamond" w:eastAsia="EB Garamond" w:cs="EB Garamond"/>
                <w:b w:val="0"/>
                <w:color w:val="1F2D33"/>
                <w:sz w:val="17"/>
                <w:szCs w:val="17"/>
              </w:rPr>
              <w:t>Answers, cited sources, uncertainty, alternatives, and available intermediate steps.</w:t>
            </w:r>
          </w:p>
        </w:tc>
      </w:tr>
      <w:tr>
        <w:trPr>
          <w:cantSplit/>
        </w:trPr>
        <w:tc>
          <w:tcPr>
            <w:tcW w:type="dxa" w:w="2658"/>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color w:val="1F2D33"/>
                <w:sz w:val="17"/>
                <w:szCs w:val="17"/>
              </w:rPr>
              <w:t>Agreement or divergence</w:t>
            </w:r>
          </w:p>
        </w:tc>
        <w:tc>
          <w:tcPr>
            <w:tcW w:type="dxa" w:w="7566"/>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val="0"/>
                <w:color w:val="1F2D33"/>
                <w:sz w:val="17"/>
                <w:szCs w:val="17"/>
              </w:rPr>
              <w:t>The substantive point, not a stylistic difference; possible effect on the decision.</w:t>
            </w:r>
          </w:p>
        </w:tc>
      </w:tr>
      <w:tr>
        <w:trPr>
          <w:cantSplit/>
        </w:trPr>
        <w:tc>
          <w:tcPr>
            <w:tcW w:type="dxa" w:w="2658"/>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Human reconstruction</w:t>
            </w:r>
          </w:p>
        </w:tc>
        <w:tc>
          <w:tcPr>
            <w:tcW w:type="dxa" w:w="7566"/>
            <w:vAlign w:val="center"/>
            <w:tcMar>
              <w:top w:w="65" w:type="dxa"/>
              <w:start w:w="120" w:type="dxa"/>
              <w:bottom w:w="65" w:type="dxa"/>
              <w:end w:w="120" w:type="dxa"/>
            </w:tcMar>
          </w:tcPr>
          <w:p>
            <w:pPr>
              <w:spacing w:after="0" w:line="210" w:lineRule="exact"/>
            </w:pPr>
            <w:r>
              <w:rPr>
                <w:rFonts w:ascii="EB Garamond" w:hAnsi="EB Garamond" w:eastAsia="EB Garamond" w:cs="EB Garamond"/>
                <w:b w:val="0"/>
                <w:color w:val="1F2D33"/>
                <w:sz w:val="17"/>
                <w:szCs w:val="17"/>
              </w:rPr>
              <w:t>Decisive fact, rule, alternative, time required, and competence needed.</w:t>
            </w:r>
          </w:p>
        </w:tc>
      </w:tr>
      <w:tr>
        <w:trPr>
          <w:cantSplit/>
        </w:trPr>
        <w:tc>
          <w:tcPr>
            <w:tcW w:type="dxa" w:w="2658"/>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color w:val="1F2D33"/>
                <w:sz w:val="17"/>
                <w:szCs w:val="17"/>
              </w:rPr>
              <w:t>Consequence</w:t>
            </w:r>
          </w:p>
        </w:tc>
        <w:tc>
          <w:tcPr>
            <w:tcW w:type="dxa" w:w="7566"/>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val="0"/>
                <w:color w:val="1F2D33"/>
                <w:sz w:val="17"/>
                <w:szCs w:val="17"/>
              </w:rPr>
              <w:t>Continue in shadow mode, repeat, narrow the Mandate, switch to degraded mode, Do not delegate, or Stop.</w:t>
            </w:r>
          </w:p>
        </w:tc>
      </w:tr>
      <w:tr>
        <w:trPr>
          <w:cantSplit/>
        </w:trPr>
        <w:tc>
          <w:tcPr>
            <w:tcW w:type="dxa" w:w="2658"/>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Cost</w:t>
            </w:r>
          </w:p>
        </w:tc>
        <w:tc>
          <w:tcPr>
            <w:tcW w:type="dxa" w:w="7566"/>
            <w:vAlign w:val="center"/>
            <w:tcMar>
              <w:top w:w="65" w:type="dxa"/>
              <w:start w:w="120" w:type="dxa"/>
              <w:bottom w:w="65" w:type="dxa"/>
              <w:end w:w="120" w:type="dxa"/>
            </w:tcMar>
          </w:tcPr>
          <w:p>
            <w:pPr>
              <w:spacing w:after="0" w:line="210" w:lineRule="exact"/>
            </w:pPr>
            <w:r>
              <w:rPr>
                <w:rFonts w:ascii="EB Garamond" w:hAnsi="EB Garamond" w:eastAsia="EB Garamond" w:cs="EB Garamond"/>
                <w:b w:val="0"/>
                <w:color w:val="1F2D33"/>
                <w:sz w:val="17"/>
                <w:szCs w:val="17"/>
              </w:rPr>
              <w:t>Hours, delays, training, challenges, dependency, energy, and exit work.</w:t>
            </w:r>
          </w:p>
        </w:tc>
      </w:tr>
    </w:tbl>
    <w:p>
      <w:pPr>
        <w:spacing w:after="0"/>
      </w:pPr>
    </w:p>
    <w:p>
      <w:r>
        <w:br w:type="page"/>
        <w:rPr>
          <w:rFonts w:ascii="EB Garamond" w:hAnsi="EB Garamond" w:eastAsia="EB Garamond" w:cs="EB Garamond"/>
          <w:sz w:val="21"/>
          <w:szCs w:val="21"/>
        </w:rPr>
      </w:r>
      <w:pPr/>
    </w:p>
    <w:p>
      <w:pPr>
        <w:pStyle w:val="Heading1"/>
        <w:spacing w:line="460" w:lineRule="exact"/>
      </w:pPr>
      <w:r>
        <w:t>8. Decision rules</w:t>
        <w:rPr>
          <w:rFonts w:ascii="EB Garamond" w:hAnsi="EB Garamond" w:eastAsia="EB Garamond" w:cs="EB Garamond"/>
          <w:sz w:val="40"/>
          <w:szCs w:val="40"/>
          <w:color w:val="183445"/>
        </w:rPr>
      </w:r>
    </w:p>
    <w:tbl>
      <w:tblPr>
        <w:tblW w:type="dxa" w:w="10224"/>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3476"/>
        <w:gridCol w:w="6748"/>
      </w:tblGrid>
      <w:tr>
        <w:trPr>
          <w:tblHeader w:val="true"/>
          <w:cantSplit/>
        </w:trPr>
        <w:tc>
          <w:tcPr>
            <w:tcW w:type="dxa" w:w="3476"/>
            <w:vAlign w:val="center"/>
            <w:tcMar>
              <w:top w:w="65" w:type="dxa"/>
              <w:start w:w="120" w:type="dxa"/>
              <w:bottom w:w="65" w:type="dxa"/>
              <w:end w:w="120" w:type="dxa"/>
            </w:tcMar>
            <w:shd w:fill="123044"/>
          </w:tcPr>
          <w:p>
            <w:pPr>
              <w:spacing w:after="0" w:line="210" w:lineRule="exact"/>
            </w:pPr>
            <w:r>
              <w:rPr>
                <w:rFonts w:ascii="EB Garamond" w:hAnsi="EB Garamond" w:eastAsia="EB Garamond" w:cs="EB Garamond"/>
                <w:b/>
                <w:color w:val="FFFFFF"/>
                <w:sz w:val="17"/>
                <w:szCs w:val="17"/>
              </w:rPr>
              <w:t>Situation</w:t>
            </w:r>
          </w:p>
        </w:tc>
        <w:tc>
          <w:tcPr>
            <w:tcW w:type="dxa" w:w="6748"/>
            <w:vAlign w:val="center"/>
            <w:tcMar>
              <w:top w:w="65" w:type="dxa"/>
              <w:start w:w="120" w:type="dxa"/>
              <w:bottom w:w="65" w:type="dxa"/>
              <w:end w:w="120" w:type="dxa"/>
            </w:tcMar>
            <w:shd w:fill="123044"/>
          </w:tcPr>
          <w:p>
            <w:pPr>
              <w:spacing w:after="0" w:line="210" w:lineRule="exact"/>
            </w:pPr>
            <w:r>
              <w:rPr>
                <w:rFonts w:ascii="EB Garamond" w:hAnsi="EB Garamond" w:eastAsia="EB Garamond" w:cs="EB Garamond"/>
                <w:b/>
                <w:color w:val="FFFFFF"/>
                <w:sz w:val="17"/>
                <w:szCs w:val="17"/>
              </w:rPr>
              <w:t>Minimum consequence</w:t>
            </w:r>
          </w:p>
        </w:tc>
      </w:tr>
      <w:tr>
        <w:trPr>
          <w:cantSplit/>
        </w:trPr>
        <w:tc>
          <w:tcPr>
            <w:tcW w:type="dxa" w:w="3476"/>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A and B agree but share an unverified dependency</w:t>
            </w:r>
          </w:p>
        </w:tc>
        <w:tc>
          <w:tcPr>
            <w:tcW w:type="dxa" w:w="6748"/>
            <w:vAlign w:val="center"/>
            <w:tcMar>
              <w:top w:w="65" w:type="dxa"/>
              <w:start w:w="120" w:type="dxa"/>
              <w:bottom w:w="65" w:type="dxa"/>
              <w:end w:w="120" w:type="dxa"/>
            </w:tcMar>
          </w:tcPr>
          <w:p>
            <w:pPr>
              <w:spacing w:after="0" w:line="210" w:lineRule="exact"/>
            </w:pPr>
            <w:r>
              <w:rPr>
                <w:rFonts w:ascii="EB Garamond" w:hAnsi="EB Garamond" w:eastAsia="EB Garamond" w:cs="EB Garamond"/>
                <w:b w:val="0"/>
                <w:color w:val="1F2D33"/>
                <w:sz w:val="17"/>
                <w:szCs w:val="17"/>
              </w:rPr>
              <w:t>Evidence is Unresolved; do not expand the Mandate.</w:t>
            </w:r>
          </w:p>
        </w:tc>
      </w:tr>
      <w:tr>
        <w:trPr>
          <w:cantSplit/>
        </w:trPr>
        <w:tc>
          <w:tcPr>
            <w:tcW w:type="dxa" w:w="3476"/>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color w:val="1F2D33"/>
                <w:sz w:val="17"/>
                <w:szCs w:val="17"/>
              </w:rPr>
              <w:t>A and B diverge on a non-decisive point and the reason is reconstructable</w:t>
            </w:r>
          </w:p>
        </w:tc>
        <w:tc>
          <w:tcPr>
            <w:tcW w:type="dxa" w:w="6748"/>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val="0"/>
                <w:color w:val="1F2D33"/>
                <w:sz w:val="17"/>
                <w:szCs w:val="17"/>
              </w:rPr>
              <w:t>Record it; retain the scope; review the case library.</w:t>
            </w:r>
          </w:p>
        </w:tc>
      </w:tr>
      <w:tr>
        <w:trPr>
          <w:cantSplit/>
        </w:trPr>
        <w:tc>
          <w:tcPr>
            <w:tcW w:type="dxa" w:w="3476"/>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A decisive divergence is reconstructable within the control window</w:t>
            </w:r>
          </w:p>
        </w:tc>
        <w:tc>
          <w:tcPr>
            <w:tcW w:type="dxa" w:w="6748"/>
            <w:vAlign w:val="center"/>
            <w:tcMar>
              <w:top w:w="65" w:type="dxa"/>
              <w:start w:w="120" w:type="dxa"/>
              <w:bottom w:w="65" w:type="dxa"/>
              <w:end w:w="120" w:type="dxa"/>
            </w:tcMar>
          </w:tcPr>
          <w:p>
            <w:pPr>
              <w:spacing w:after="0" w:line="210" w:lineRule="exact"/>
            </w:pPr>
            <w:r>
              <w:rPr>
                <w:rFonts w:ascii="EB Garamond" w:hAnsi="EB Garamond" w:eastAsia="EB Garamond" w:cs="EB Garamond"/>
                <w:b w:val="0"/>
                <w:color w:val="1F2D33"/>
                <w:sz w:val="17"/>
                <w:szCs w:val="17"/>
              </w:rPr>
              <w:t>Send it to the competent reviewer; the effect remains suspended until the case is closed.</w:t>
            </w:r>
          </w:p>
        </w:tc>
      </w:tr>
      <w:tr>
        <w:trPr>
          <w:cantSplit/>
        </w:trPr>
        <w:tc>
          <w:tcPr>
            <w:tcW w:type="dxa" w:w="3476"/>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color w:val="1F2D33"/>
                <w:sz w:val="17"/>
                <w:szCs w:val="17"/>
              </w:rPr>
              <w:t>A decisive divergence cannot be reconstructed in time</w:t>
            </w:r>
          </w:p>
        </w:tc>
        <w:tc>
          <w:tcPr>
            <w:tcW w:type="dxa" w:w="6748"/>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val="0"/>
                <w:color w:val="1F2D33"/>
                <w:sz w:val="17"/>
                <w:szCs w:val="17"/>
              </w:rPr>
              <w:t>Narrow the Mandate or move to degraded mode; if the power is already active, Stop.</w:t>
            </w:r>
          </w:p>
        </w:tc>
      </w:tr>
      <w:tr>
        <w:trPr>
          <w:cantSplit/>
        </w:trPr>
        <w:tc>
          <w:tcPr>
            <w:tcW w:type="dxa" w:w="3476"/>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Both systems fail on the same case</w:t>
            </w:r>
          </w:p>
        </w:tc>
        <w:tc>
          <w:tcPr>
            <w:tcW w:type="dxa" w:w="6748"/>
            <w:vAlign w:val="center"/>
            <w:tcMar>
              <w:top w:w="65" w:type="dxa"/>
              <w:start w:w="120" w:type="dxa"/>
              <w:bottom w:w="65" w:type="dxa"/>
              <w:end w:w="120" w:type="dxa"/>
            </w:tcMar>
          </w:tcPr>
          <w:p>
            <w:pPr>
              <w:spacing w:after="0" w:line="210" w:lineRule="exact"/>
            </w:pPr>
            <w:r>
              <w:rPr>
                <w:rFonts w:ascii="EB Garamond" w:hAnsi="EB Garamond" w:eastAsia="EB Garamond" w:cs="EB Garamond"/>
                <w:b w:val="0"/>
                <w:color w:val="1F2D33"/>
                <w:sz w:val="17"/>
                <w:szCs w:val="17"/>
              </w:rPr>
              <w:t>Treat agreement as a correlated error; correct sources, data, objectives, or process before repeating.</w:t>
            </w:r>
          </w:p>
        </w:tc>
      </w:tr>
      <w:tr>
        <w:trPr>
          <w:cantSplit/>
        </w:trPr>
        <w:tc>
          <w:tcPr>
            <w:tcW w:type="dxa" w:w="3476"/>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color w:val="1F2D33"/>
                <w:sz w:val="17"/>
                <w:szCs w:val="17"/>
              </w:rPr>
              <w:t>Load makes oversight nominal</w:t>
            </w:r>
          </w:p>
        </w:tc>
        <w:tc>
          <w:tcPr>
            <w:tcW w:type="dxa" w:w="6748"/>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val="0"/>
                <w:color w:val="1F2D33"/>
                <w:sz w:val="17"/>
                <w:szCs w:val="17"/>
              </w:rPr>
              <w:t>Reduce volume or mode; fund human capacity; do not add an ornamental signature.</w:t>
            </w:r>
          </w:p>
        </w:tc>
      </w:tr>
      <w:tr>
        <w:trPr>
          <w:cantSplit/>
        </w:trPr>
        <w:tc>
          <w:tcPr>
            <w:tcW w:type="dxa" w:w="3476"/>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Exit does not reconstruct the service</w:t>
            </w:r>
          </w:p>
        </w:tc>
        <w:tc>
          <w:tcPr>
            <w:tcW w:type="dxa" w:w="6748"/>
            <w:vAlign w:val="center"/>
            <w:tcMar>
              <w:top w:w="65" w:type="dxa"/>
              <w:start w:w="120" w:type="dxa"/>
              <w:bottom w:w="65" w:type="dxa"/>
              <w:end w:w="120" w:type="dxa"/>
            </w:tcMar>
          </w:tcPr>
          <w:p>
            <w:pPr>
              <w:spacing w:after="0" w:line="210" w:lineRule="exact"/>
            </w:pPr>
            <w:r>
              <w:rPr>
                <w:rFonts w:ascii="EB Garamond" w:hAnsi="EB Garamond" w:eastAsia="EB Garamond" w:cs="EB Garamond"/>
                <w:b w:val="0"/>
                <w:color w:val="1F2D33"/>
                <w:sz w:val="17"/>
                <w:szCs w:val="17"/>
              </w:rPr>
              <w:t>Blocking condition: Do not delegate before launch or Stop active use.</w:t>
            </w:r>
          </w:p>
        </w:tc>
      </w:tr>
    </w:tbl>
    <w:p>
      <w:pPr>
        <w:spacing w:after="0"/>
      </w:pPr>
    </w:p>
    <w:p>
      <w:pPr>
        <w:pStyle w:val="Heading1"/>
        <w:spacing w:line="460" w:lineRule="exact"/>
      </w:pPr>
      <w:r>
        <w:t>9. Closing record</w:t>
        <w:rPr>
          <w:rFonts w:ascii="EB Garamond" w:hAnsi="EB Garamond" w:eastAsia="EB Garamond" w:cs="EB Garamond"/>
          <w:sz w:val="40"/>
          <w:szCs w:val="40"/>
          <w:color w:val="183445"/>
        </w:rPr>
      </w:r>
    </w:p>
    <w:tbl>
      <w:tblPr>
        <w:tblW w:type="dxa" w:w="10224"/>
        <w:jc w:val="left"/>
        <w:tblLayout w:type="fixed"/>
        <w:tblLook w:firstColumn="1" w:firstRow="1" w:lastColumn="0" w:lastRow="0" w:noHBand="0" w:noVBand="1" w:val="04A0"/>
        <w:tblInd w:w="150" w:type="dxa"/>
        <w:tblBorders>
          <w:top w:val="single" w:sz="7" w:space="0" w:color="B54B2A"/>
          <w:left w:val="single" w:sz="7" w:space="0" w:color="B54B2A"/>
          <w:bottom w:val="single" w:sz="7" w:space="0" w:color="B54B2A"/>
          <w:right w:val="single" w:sz="7" w:space="0" w:color="B54B2A"/>
          <w:insideH w:val="single" w:sz="7" w:space="0" w:color="B54B2A"/>
          <w:insideV w:val="single" w:sz="7" w:space="0" w:color="B54B2A"/>
        </w:tblBorders>
      </w:tblPr>
      <w:tblGrid>
        <w:gridCol w:w="10224"/>
      </w:tblGrid>
      <w:tr>
        <w:trPr>
          <w:cantSplit/>
        </w:trPr>
        <w:tc>
          <w:tcPr>
            <w:tcW w:type="dxa" w:w="10224"/>
            <w:shd w:fill="F7E7E0"/>
            <w:tcMar>
              <w:top w:w="120" w:type="dxa"/>
              <w:start w:w="150" w:type="dxa"/>
              <w:bottom w:w="120" w:type="dxa"/>
              <w:end w:w="150" w:type="dxa"/>
            </w:tcMar>
          </w:tcPr>
          <w:p>
            <w:pPr>
              <w:spacing w:after="40" w:line="210" w:lineRule="exact"/>
            </w:pPr>
            <w:r>
              <w:rPr>
                <w:rFonts w:ascii="EB Garamond" w:hAnsi="EB Garamond" w:eastAsia="EB Garamond" w:cs="EB Garamond"/>
                <w:b/>
                <w:color w:val="B04A35"/>
                <w:sz w:val="17"/>
                <w:szCs w:val="17"/>
              </w:rPr>
              <w:t xml:space="preserve">OUTCOME  </w:t>
            </w:r>
            <w:r>
              <w:rPr>
                <w:rFonts w:ascii="EB Garamond" w:hAnsi="EB Garamond" w:eastAsia="EB Garamond" w:cs="EB Garamond"/>
                <w:color w:val="1F2D33"/>
                <w:sz w:val="17"/>
                <w:szCs w:val="17"/>
              </w:rPr>
              <w:t>Record the version and tested scope, including failed cases, divergences, and unresolved conditions. Retain oversight hours and costs alongside the organizational decision. Name the responsible person and specify the stop condition and review date. A good result does not authorize untested tasks, data, or volumes.</w:t>
            </w:r>
          </w:p>
        </w:tc>
      </w:tr>
    </w:tbl>
    <w:p>
      <w:pPr>
        <w:spacing w:after="0"/>
      </w:pPr>
    </w:p>
    <w:p>
      <w:pPr>
        <w:pStyle w:val="Heading2"/>
        <w:spacing w:line="360" w:lineRule="exact"/>
      </w:pPr>
      <w:r>
        <w:t>Closing checklist</w:t>
        <w:rPr>
          <w:rFonts w:ascii="EB Garamond" w:hAnsi="EB Garamond" w:eastAsia="EB Garamond" w:cs="EB Garamond"/>
          <w:sz w:val="30"/>
          <w:szCs w:val="30"/>
          <w:color w:val="B04A35"/>
        </w:rPr>
      </w:r>
    </w:p>
    <w:tbl>
      <w:tblPr>
        <w:tblW w:type="dxa" w:w="10224"/>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4601"/>
        <w:gridCol w:w="5623"/>
      </w:tblGrid>
      <w:tr>
        <w:trPr>
          <w:tblHeader w:val="true"/>
          <w:cantSplit/>
        </w:trPr>
        <w:tc>
          <w:tcPr>
            <w:tcW w:type="dxa" w:w="4601"/>
            <w:vAlign w:val="center"/>
            <w:tcMar>
              <w:top w:w="65" w:type="dxa"/>
              <w:start w:w="120" w:type="dxa"/>
              <w:bottom w:w="65" w:type="dxa"/>
              <w:end w:w="120" w:type="dxa"/>
            </w:tcMar>
            <w:shd w:fill="123044"/>
          </w:tcPr>
          <w:p>
            <w:pPr>
              <w:spacing w:after="0" w:line="210" w:lineRule="exact"/>
            </w:pPr>
            <w:r>
              <w:rPr>
                <w:rFonts w:ascii="EB Garamond" w:hAnsi="EB Garamond" w:eastAsia="EB Garamond" w:cs="EB Garamond"/>
                <w:b/>
                <w:color w:val="FFFFFF"/>
                <w:sz w:val="17"/>
                <w:szCs w:val="17"/>
              </w:rPr>
              <w:t>Control</w:t>
            </w:r>
          </w:p>
        </w:tc>
        <w:tc>
          <w:tcPr>
            <w:tcW w:type="dxa" w:w="5623"/>
            <w:vAlign w:val="center"/>
            <w:tcMar>
              <w:top w:w="65" w:type="dxa"/>
              <w:start w:w="120" w:type="dxa"/>
              <w:bottom w:w="65" w:type="dxa"/>
              <w:end w:w="120" w:type="dxa"/>
            </w:tcMar>
            <w:shd w:fill="123044"/>
          </w:tcPr>
          <w:p>
            <w:pPr>
              <w:spacing w:after="0" w:line="210" w:lineRule="exact"/>
            </w:pPr>
            <w:r>
              <w:rPr>
                <w:rFonts w:ascii="EB Garamond" w:hAnsi="EB Garamond" w:eastAsia="EB Garamond" w:cs="EB Garamond"/>
                <w:b/>
                <w:color w:val="FFFFFF"/>
                <w:sz w:val="17"/>
                <w:szCs w:val="17"/>
              </w:rPr>
              <w:t>Outcome and reference</w:t>
            </w:r>
          </w:p>
        </w:tc>
      </w:tr>
      <w:tr>
        <w:trPr>
          <w:cantSplit/>
          <w:trHeight w:val="360" w:hRule="atLeast"/>
        </w:trPr>
        <w:tc>
          <w:tcPr>
            <w:tcW w:type="dxa" w:w="4601"/>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 ] Versions A and B identified</w:t>
            </w:r>
          </w:p>
        </w:tc>
        <w:tc>
          <w:tcPr>
            <w:tcW w:type="dxa" w:w="5623"/>
            <w:vAlign w:val="center"/>
            <w:tcMar>
              <w:top w:w="65" w:type="dxa"/>
              <w:start w:w="120" w:type="dxa"/>
              <w:bottom w:w="65" w:type="dxa"/>
              <w:end w:w="120" w:type="dxa"/>
            </w:tcMar>
          </w:tcPr>
          <w:p>
            <w:pPr>
              <w:spacing w:after="0" w:line="240" w:lineRule="auto"/>
            </w:pPr>
            <w:r>
              <w:rPr>
                <w:rFonts w:ascii="EB Garamond" w:hAnsi="EB Garamond" w:eastAsia="EB Garamond" w:cs="EB Garamond"/>
                <w:b w:val="0"/>
                <w:color w:val="1F2D33"/>
                <w:sz w:val="17"/>
                <w:szCs w:val="17"/>
              </w:rPr>
            </w:r>
          </w:p>
        </w:tc>
      </w:tr>
      <w:tr>
        <w:trPr>
          <w:cantSplit/>
          <w:trHeight w:val="360" w:hRule="atLeast"/>
        </w:trPr>
        <w:tc>
          <w:tcPr>
            <w:tcW w:type="dxa" w:w="4601"/>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color w:val="1F2D33"/>
                <w:sz w:val="17"/>
                <w:szCs w:val="17"/>
              </w:rPr>
              <w:t>[ ] Common dependencies documented</w:t>
            </w:r>
          </w:p>
        </w:tc>
        <w:tc>
          <w:tcPr>
            <w:tcW w:type="dxa" w:w="5623"/>
            <w:vAlign w:val="center"/>
            <w:tcMar>
              <w:top w:w="65" w:type="dxa"/>
              <w:start w:w="120" w:type="dxa"/>
              <w:bottom w:w="65" w:type="dxa"/>
              <w:end w:w="120" w:type="dxa"/>
            </w:tcMar>
            <w:shd w:fill="EFF2F3"/>
          </w:tcPr>
          <w:p>
            <w:pPr>
              <w:spacing w:after="0" w:line="240" w:lineRule="auto"/>
            </w:pPr>
            <w:r>
              <w:rPr>
                <w:rFonts w:ascii="EB Garamond" w:hAnsi="EB Garamond" w:eastAsia="EB Garamond" w:cs="EB Garamond"/>
                <w:b w:val="0"/>
                <w:color w:val="1F2D33"/>
                <w:sz w:val="17"/>
                <w:szCs w:val="17"/>
              </w:rPr>
            </w:r>
          </w:p>
        </w:tc>
      </w:tr>
      <w:tr>
        <w:trPr>
          <w:cantSplit/>
          <w:trHeight w:val="360" w:hRule="atLeast"/>
        </w:trPr>
        <w:tc>
          <w:tcPr>
            <w:tcW w:type="dxa" w:w="4601"/>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 ] Decisive divergences reconstructed</w:t>
            </w:r>
          </w:p>
        </w:tc>
        <w:tc>
          <w:tcPr>
            <w:tcW w:type="dxa" w:w="5623"/>
            <w:vAlign w:val="center"/>
            <w:tcMar>
              <w:top w:w="65" w:type="dxa"/>
              <w:start w:w="120" w:type="dxa"/>
              <w:bottom w:w="65" w:type="dxa"/>
              <w:end w:w="120" w:type="dxa"/>
            </w:tcMar>
          </w:tcPr>
          <w:p>
            <w:pPr>
              <w:spacing w:after="0" w:line="240" w:lineRule="auto"/>
            </w:pPr>
            <w:r>
              <w:rPr>
                <w:rFonts w:ascii="EB Garamond" w:hAnsi="EB Garamond" w:eastAsia="EB Garamond" w:cs="EB Garamond"/>
                <w:b w:val="0"/>
                <w:color w:val="1F2D33"/>
                <w:sz w:val="17"/>
                <w:szCs w:val="17"/>
              </w:rPr>
            </w:r>
          </w:p>
        </w:tc>
      </w:tr>
      <w:tr>
        <w:trPr>
          <w:cantSplit/>
          <w:trHeight w:val="360" w:hRule="atLeast"/>
        </w:trPr>
        <w:tc>
          <w:tcPr>
            <w:tcW w:type="dxa" w:w="4601"/>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color w:val="1F2D33"/>
                <w:sz w:val="17"/>
                <w:szCs w:val="17"/>
              </w:rPr>
              <w:t>[ ] Actual load and control window tested</w:t>
            </w:r>
          </w:p>
        </w:tc>
        <w:tc>
          <w:tcPr>
            <w:tcW w:type="dxa" w:w="5623"/>
            <w:vAlign w:val="center"/>
            <w:tcMar>
              <w:top w:w="65" w:type="dxa"/>
              <w:start w:w="120" w:type="dxa"/>
              <w:bottom w:w="65" w:type="dxa"/>
              <w:end w:w="120" w:type="dxa"/>
            </w:tcMar>
            <w:shd w:fill="EFF2F3"/>
          </w:tcPr>
          <w:p>
            <w:pPr>
              <w:spacing w:after="0" w:line="240" w:lineRule="auto"/>
            </w:pPr>
            <w:r>
              <w:rPr>
                <w:rFonts w:ascii="EB Garamond" w:hAnsi="EB Garamond" w:eastAsia="EB Garamond" w:cs="EB Garamond"/>
                <w:b w:val="0"/>
                <w:color w:val="1F2D33"/>
                <w:sz w:val="17"/>
                <w:szCs w:val="17"/>
              </w:rPr>
            </w:r>
          </w:p>
        </w:tc>
      </w:tr>
      <w:tr>
        <w:trPr>
          <w:cantSplit/>
          <w:trHeight w:val="360" w:hRule="atLeast"/>
        </w:trPr>
        <w:tc>
          <w:tcPr>
            <w:tcW w:type="dxa" w:w="4601"/>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 ] Redress and stop authority reachable</w:t>
            </w:r>
          </w:p>
        </w:tc>
        <w:tc>
          <w:tcPr>
            <w:tcW w:type="dxa" w:w="5623"/>
            <w:vAlign w:val="center"/>
            <w:tcMar>
              <w:top w:w="65" w:type="dxa"/>
              <w:start w:w="120" w:type="dxa"/>
              <w:bottom w:w="65" w:type="dxa"/>
              <w:end w:w="120" w:type="dxa"/>
            </w:tcMar>
          </w:tcPr>
          <w:p>
            <w:pPr>
              <w:spacing w:after="0" w:line="240" w:lineRule="auto"/>
            </w:pPr>
            <w:r>
              <w:rPr>
                <w:rFonts w:ascii="EB Garamond" w:hAnsi="EB Garamond" w:eastAsia="EB Garamond" w:cs="EB Garamond"/>
                <w:b w:val="0"/>
                <w:color w:val="1F2D33"/>
                <w:sz w:val="17"/>
                <w:szCs w:val="17"/>
              </w:rPr>
            </w:r>
          </w:p>
        </w:tc>
      </w:tr>
      <w:tr>
        <w:trPr>
          <w:cantSplit/>
          <w:trHeight w:val="360" w:hRule="atLeast"/>
        </w:trPr>
        <w:tc>
          <w:tcPr>
            <w:tcW w:type="dxa" w:w="4601"/>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color w:val="1F2D33"/>
                <w:sz w:val="17"/>
                <w:szCs w:val="17"/>
              </w:rPr>
              <w:t>[ ] Degraded mode and exit tested</w:t>
            </w:r>
          </w:p>
        </w:tc>
        <w:tc>
          <w:tcPr>
            <w:tcW w:type="dxa" w:w="5623"/>
            <w:vAlign w:val="center"/>
            <w:tcMar>
              <w:top w:w="65" w:type="dxa"/>
              <w:start w:w="120" w:type="dxa"/>
              <w:bottom w:w="65" w:type="dxa"/>
              <w:end w:w="120" w:type="dxa"/>
            </w:tcMar>
            <w:shd w:fill="EFF2F3"/>
          </w:tcPr>
          <w:p>
            <w:pPr>
              <w:spacing w:after="0" w:line="240" w:lineRule="auto"/>
            </w:pPr>
            <w:r>
              <w:rPr>
                <w:rFonts w:ascii="EB Garamond" w:hAnsi="EB Garamond" w:eastAsia="EB Garamond" w:cs="EB Garamond"/>
                <w:b w:val="0"/>
                <w:color w:val="1F2D33"/>
                <w:sz w:val="17"/>
                <w:szCs w:val="17"/>
              </w:rPr>
            </w:r>
          </w:p>
        </w:tc>
      </w:tr>
      <w:tr>
        <w:trPr>
          <w:cantSplit/>
          <w:trHeight w:val="360" w:hRule="atLeast"/>
        </w:trPr>
        <w:tc>
          <w:tcPr>
            <w:tcW w:type="dxa" w:w="4601"/>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 ] Oversight and nonadoption costs recorded</w:t>
            </w:r>
          </w:p>
        </w:tc>
        <w:tc>
          <w:tcPr>
            <w:tcW w:type="dxa" w:w="5623"/>
            <w:vAlign w:val="center"/>
            <w:tcMar>
              <w:top w:w="65" w:type="dxa"/>
              <w:start w:w="120" w:type="dxa"/>
              <w:bottom w:w="65" w:type="dxa"/>
              <w:end w:w="120" w:type="dxa"/>
            </w:tcMar>
          </w:tcPr>
          <w:p>
            <w:pPr>
              <w:spacing w:after="0" w:line="240" w:lineRule="auto"/>
            </w:pPr>
            <w:r>
              <w:rPr>
                <w:rFonts w:ascii="EB Garamond" w:hAnsi="EB Garamond" w:eastAsia="EB Garamond" w:cs="EB Garamond"/>
                <w:b w:val="0"/>
                <w:color w:val="1F2D33"/>
                <w:sz w:val="17"/>
                <w:szCs w:val="17"/>
              </w:rPr>
            </w:r>
          </w:p>
        </w:tc>
      </w:tr>
      <w:tr>
        <w:trPr>
          <w:cantSplit/>
          <w:trHeight w:val="360" w:hRule="atLeast"/>
        </w:trPr>
        <w:tc>
          <w:tcPr>
            <w:tcW w:type="dxa" w:w="4601"/>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color w:val="1F2D33"/>
                <w:sz w:val="17"/>
                <w:szCs w:val="17"/>
              </w:rPr>
              <w:t>Organizational decision</w:t>
            </w:r>
          </w:p>
        </w:tc>
        <w:tc>
          <w:tcPr>
            <w:tcW w:type="dxa" w:w="5623"/>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val="0"/>
                <w:color w:val="1F2D33"/>
                <w:sz w:val="17"/>
                <w:szCs w:val="17"/>
              </w:rPr>
              <w:t>[ ] Proceed [ ] Limit and test [ ] Do not delegate [ ] Stop</w:t>
            </w:r>
          </w:p>
        </w:tc>
      </w:tr>
      <w:tr>
        <w:trPr>
          <w:cantSplit/>
          <w:trHeight w:val="360" w:hRule="atLeast"/>
        </w:trPr>
        <w:tc>
          <w:tcPr>
            <w:tcW w:type="dxa" w:w="4601"/>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Responsible person, signature, date, and review</w:t>
            </w:r>
          </w:p>
        </w:tc>
        <w:tc>
          <w:tcPr>
            <w:tcW w:type="dxa" w:w="5623"/>
            <w:vAlign w:val="center"/>
            <w:tcMar>
              <w:top w:w="65" w:type="dxa"/>
              <w:start w:w="120" w:type="dxa"/>
              <w:bottom w:w="65" w:type="dxa"/>
              <w:end w:w="120" w:type="dxa"/>
            </w:tcMar>
          </w:tcPr>
          <w:p>
            <w:pPr>
              <w:spacing w:after="0" w:line="240" w:lineRule="auto"/>
            </w:pPr>
            <w:r>
              <w:rPr>
                <w:rFonts w:ascii="EB Garamond" w:hAnsi="EB Garamond" w:eastAsia="EB Garamond" w:cs="EB Garamond"/>
                <w:b w:val="0"/>
                <w:color w:val="1F2D33"/>
                <w:sz w:val="17"/>
                <w:szCs w:val="17"/>
              </w:rPr>
            </w:r>
          </w:p>
        </w:tc>
      </w:tr>
    </w:tbl>
    <w:p>
      <w:pPr>
        <w:spacing w:after="0"/>
      </w:pPr>
    </w:p>
    <w:sectPr>
      <w:headerReference w:type="default" r:id="rId9"/>
      <w:footerReference w:type="default" r:id="rId10"/>
      <w:footerReference w:type="first" r:id="rId11"/>
      <w:pgSz w:w="12240" w:h="15840"/>
      <w:pgMar w:top="1008" w:right="1008" w:bottom="1008" w:left="1008" w:header="432" w:footer="432" w:gutter="0"/>
      <w:cols w:space="720"/>
      <w:titlePg/>
      <w:docGrid w:linePitch="360"/>
    </w:sectPr>
  </w:body>
</w:document>
</file>

<file path=word/fontTable.xml><?xml version="1.0" encoding="utf-8"?>
<w:fonts xmlns:w="http://schemas.openxmlformats.org/wordprocessingml/2006/main" xmlns:r="http://schemas.openxmlformats.org/officeDocument/2006/relationships">
  <w:font w:name="EB Garamond">
    <w:altName w:val="Garamond"/>
    <w:charset w:val="00"/>
    <w:family w:val="auto"/>
    <w:pitch w:val="variable"/>
    <w:sig w:usb0="E00002FF" w:usb1="02000413" w:usb2="00000000" w:usb3="00000000" w:csb0="0000019F" w:csb1="00000000"/>
    <w:embedRegular r:id="rId1" w:fontKey="{8803E84C-4695-4705-838C-D4FC599F85E4}"/>
    <w:embedBold r:id="rId2" w:fontKey="{34828F21-0C39-43B1-A4DE-E08636D6C3A3}"/>
    <w:embedItalic r:id="rId3" w:fontKey="{16841129-51C1-4C09-BE4D-4D07B4C2C00A}"/>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tabs>
        <w:tab w:pos="10152" w:val="left"/>
      </w:tabs>
      <w:spacing w:before="0" w:after="0" w:line="200" w:lineRule="exact"/>
    </w:pPr>
    <w:r>
      <w:rPr>
        <w:rFonts w:ascii="EB Garamond" w:hAnsi="EB Garamond" w:eastAsia="EB Garamond" w:cs="EB Garamond"/>
        <w:color w:val="65757D"/>
        <w:sz w:val="16"/>
        <w:szCs w:val="16"/>
      </w:rPr>
      <w:t>2050 - EN-US-R2.3 - Documentary snapshot July 2026</w:t>
    </w:r>
    <w:r>
      <w:tab/>
      <w:rPr>
        <w:rFonts w:ascii="EB Garamond" w:hAnsi="EB Garamond" w:eastAsia="EB Garamond" w:cs="EB Garamond"/>
        <w:sz w:val="16"/>
        <w:szCs w:val="16"/>
        <w:color w:val="65757D"/>
      </w:rPr>
    </w:r>
    <w:r>
      <w:rPr>
        <w:rFonts w:ascii="EB Garamond" w:hAnsi="EB Garamond" w:eastAsia="EB Garamond" w:cs="EB Garamond"/>
        <w:color w:val="65757D"/>
        <w:sz w:val="16"/>
        <w:szCs w:val="16"/>
      </w:rPr>
      <w:fldChar w:fldCharType="begin"/>
      <w:instrText xml:space="preserve"> PAGE </w:instrText>
      <w:fldChar w:fldCharType="separate"/>
      <w:t>1</w:t>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spacing w:line="200" w:lineRule="exact"/>
    </w:pPr>
    <w:r>
      <w:rPr>
        <w:rFonts w:ascii="EB Garamond" w:hAnsi="EB Garamond" w:eastAsia="EB Garamond" w:cs="EB Garamond"/>
        <w:color w:val="65757D"/>
        <w:sz w:val="16"/>
        <w:szCs w:val="16"/>
      </w:rPr>
      <w:t>https://www.corneritaliano.com/en/2050/resources/</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line="200" w:lineRule="exact"/>
      <w:jc w:val="left"/>
    </w:pPr>
    <w:r>
      <w:rPr>
        <w:rFonts w:ascii="EB Garamond" w:hAnsi="EB Garamond" w:eastAsia="EB Garamond" w:cs="EB Garamond"/>
        <w:b/>
        <w:color w:val="65757D"/>
        <w:sz w:val="16"/>
        <w:szCs w:val="16"/>
      </w:rPr>
      <w:t xml:space="preserve">2050  |  OFFICIAL RESOURCES  |  </w:t>
    </w:r>
    <w:r>
      <w:rPr>
        <w:rFonts w:ascii="EB Garamond" w:hAnsi="EB Garamond" w:eastAsia="EB Garamond" w:cs="EB Garamond"/>
        <w:color w:val="65757D"/>
        <w:sz w:val="16"/>
        <w:szCs w:val="16"/>
      </w:rPr>
      <w:t>Advanced Two-System Testing Protocol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EB Garamond" w:hAnsi="EB Garamond" w:eastAsia="EB Garamond" w:cs="EB Garamond"/>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EB Garamond" w:hAnsi="EB Garamond" w:eastAsia="EB Garamond" w:cs="EB Garamond"/>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EB Garamond" w:hAnsi="EB Garamond" w:eastAsia="EB Garamond" w:cs="EB Garamond"/>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EB Garamond" w:hAnsi="EB Garamond" w:eastAsia="EB Garamond" w:cs="EB Garamond"/>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embedTrueTypeFonts/>
  <w:saveSubsetFonts w:val="fals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EB Garamond" w:hAnsi="EB Garamond" w:eastAsia="EB Garamond" w:cs="EB Garamond"/>
        <w:sz w:val="21"/>
        <w:szCs w:val="21"/>
        <w:lang w:val="en-US" w:eastAsia="en-US" w:bidi="ar-SA"/>
        <w:color w:val="1F2D33"/>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before="0" w:after="100" w:line="270" w:lineRule="exact"/>
    </w:pPr>
    <w:rPr>
      <w:rFonts w:ascii="EB Garamond" w:hAnsi="EB Garamond" w:eastAsia="EB Garamond" w:cs="EB Garamond"/>
      <w:color w:val="1F2D33"/>
      <w:sz w:val="21"/>
      <w:szCs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EB Garamond" w:hAnsi="EB Garamond" w:eastAsia="EB Garamond" w:cs="EB Garamond"/>
      <w:sz w:val="16"/>
      <w:szCs w:val="16"/>
      <w:color w:val="65757D"/>
    </w:rPr>
  </w:style>
  <w:style w:type="character" w:customStyle="1" w:styleId="HeaderChar">
    <w:name w:val="Header Char"/>
    <w:basedOn w:val="DefaultParagraphFont"/>
    <w:link w:val="Header"/>
    <w:uiPriority w:val="99"/>
    <w:rsid w:val="00E618BF"/>
    <w:rPr>
      <w:rFonts w:ascii="EB Garamond" w:hAnsi="EB Garamond" w:eastAsia="EB Garamond" w:cs="EB Garamond"/>
    </w:rPr>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EB Garamond" w:hAnsi="EB Garamond" w:eastAsia="EB Garamond" w:cs="EB Garamond"/>
      <w:sz w:val="16"/>
      <w:szCs w:val="16"/>
      <w:color w:val="65757D"/>
    </w:rPr>
  </w:style>
  <w:style w:type="character" w:customStyle="1" w:styleId="FooterChar">
    <w:name w:val="Footer Char"/>
    <w:basedOn w:val="DefaultParagraphFont"/>
    <w:link w:val="Footer"/>
    <w:uiPriority w:val="99"/>
    <w:rsid w:val="00E618BF"/>
    <w:rPr>
      <w:rFonts w:ascii="EB Garamond" w:hAnsi="EB Garamond" w:eastAsia="EB Garamond" w:cs="EB Garamond"/>
    </w:rPr>
  </w:style>
  <w:style w:type="paragraph" w:styleId="Heading1">
    <w:name w:val="heading 1"/>
    <w:basedOn w:val="Normal"/>
    <w:next w:val="Normal"/>
    <w:link w:val="Heading1Char"/>
    <w:uiPriority w:val="9"/>
    <w:qFormat/>
    <w:rsid w:val="00FC693F"/>
    <w:pPr>
      <w:keepNext/>
      <w:keepLines/>
      <w:spacing w:before="320" w:after="160"/>
      <w:outlineLvl w:val="0"/>
    </w:pPr>
    <w:rPr>
      <w:rFonts w:ascii="EB Garamond" w:hAnsi="EB Garamond" w:eastAsia="EB Garamond" w:cs="EB Garamond"/>
      <w:b/>
      <w:bCs/>
      <w:color w:val="183445"/>
      <w:sz w:val="40"/>
      <w:szCs w:val="40"/>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EB Garamond" w:hAnsi="EB Garamond" w:eastAsia="EB Garamond" w:cs="EB Garamond"/>
      <w:b/>
      <w:bCs/>
      <w:color w:val="B04A35"/>
      <w:sz w:val="30"/>
      <w:szCs w:val="30"/>
    </w:rPr>
  </w:style>
  <w:style w:type="paragraph" w:styleId="Heading3">
    <w:name w:val="heading 3"/>
    <w:basedOn w:val="Normal"/>
    <w:next w:val="Normal"/>
    <w:link w:val="Heading3Char"/>
    <w:uiPriority w:val="9"/>
    <w:unhideWhenUsed/>
    <w:qFormat/>
    <w:rsid w:val="00FC693F"/>
    <w:pPr>
      <w:keepNext/>
      <w:keepLines/>
      <w:spacing w:before="180" w:after="80"/>
      <w:outlineLvl w:val="2"/>
    </w:pPr>
    <w:rPr>
      <w:rFonts w:ascii="EB Garamond" w:hAnsi="EB Garamond" w:eastAsia="EB Garamond" w:cs="EB Garamond"/>
      <w:b/>
      <w:bCs/>
      <w:color w:val="183445"/>
      <w:sz w:val="23"/>
      <w:szCs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EB Garamond" w:hAnsi="EB Garamond" w:eastAsia="EB Garamond" w:cs="EB Garamond"/>
      <w:b/>
      <w:bCs/>
      <w:i/>
      <w:iCs/>
      <w:color w:val="4F81BD"/>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EB Garamond" w:hAnsi="EB Garamond" w:eastAsia="EB Garamond" w:cs="EB Garamond"/>
      <w:color w:val="243F60"/>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EB Garamond" w:hAnsi="EB Garamond" w:eastAsia="EB Garamond" w:cs="EB Garamond"/>
      <w:i/>
      <w:iCs/>
      <w:color w:val="243F60"/>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EB Garamond" w:hAnsi="EB Garamond" w:eastAsia="EB Garamond" w:cs="EB Garamond"/>
      <w:i/>
      <w:iCs/>
      <w:color w:val="404040"/>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EB Garamond" w:hAnsi="EB Garamond" w:eastAsia="EB Garamond" w:cs="EB Garamond"/>
      <w:color w:val="4F81BD"/>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EB Garamond" w:hAnsi="EB Garamond" w:eastAsia="EB Garamond" w:cs="EB Garamond"/>
      <w:i/>
      <w:iCs/>
      <w:color w:val="404040"/>
      <w:sz w:val="20"/>
      <w:szCs w:val="20"/>
    </w:rPr>
  </w:style>
  <w:style w:type="character" w:default="1" w:styleId="DefaultParagraphFont">
    <w:name w:val="Default Paragraph Font"/>
    <w:uiPriority w:val="1"/>
    <w:semiHidden/>
    <w:unhideWhenUsed/>
    <w:rPr>
      <w:rFonts w:ascii="EB Garamond" w:hAnsi="EB Garamond" w:eastAsia="EB Garamond" w:cs="EB Garamond"/>
    </w:rPr>
  </w:style>
  <w:style w:type="table" w:default="1" w:styleId="TableNormal">
    <w:name w:val="Normal Table"/>
    <w:uiPriority w:val="99"/>
    <w:semiHidden/>
    <w:unhideWhenUsed/>
    <w:tblPr>
      <w:tblInd w:w="0" w:type="dxa"/>
      <w:tblCellMar>
        <w:top w:w="0" w:type="dxa"/>
        <w:left w:w="108" w:type="dxa"/>
        <w:bottom w:w="0" w:type="dxa"/>
        <w:right w:w="108" w:type="dxa"/>
      </w:tblCellMar>
    </w:tblPr>
    <w:rPr>
      <w:rFonts w:ascii="EB Garamond" w:hAnsi="EB Garamond" w:eastAsia="EB Garamond" w:cs="EB Garamond"/>
    </w:rPr>
  </w:style>
  <w:style w:type="numbering" w:default="1" w:styleId="NoList">
    <w:name w:val="No List"/>
    <w:uiPriority w:val="99"/>
    <w:semiHidden/>
    <w:unhideWhenUsed/>
    <w:rPr>
      <w:rFonts w:ascii="EB Garamond" w:hAnsi="EB Garamond" w:eastAsia="EB Garamond" w:cs="EB Garamond"/>
    </w:rPr>
  </w:style>
  <w:style w:type="paragraph" w:styleId="NoSpacing">
    <w:name w:val="No Spacing"/>
    <w:uiPriority w:val="1"/>
    <w:qFormat/>
    <w:rsid w:val="00FC693F"/>
    <w:pPr>
      <w:spacing w:after="0" w:line="240" w:lineRule="auto"/>
    </w:pPr>
    <w:rPr>
      <w:rFonts w:ascii="EB Garamond" w:hAnsi="EB Garamond" w:eastAsia="EB Garamond" w:cs="EB Garamond"/>
    </w:rPr>
  </w:style>
  <w:style w:type="character" w:customStyle="1" w:styleId="Heading1Char">
    <w:name w:val="Heading 1 Char"/>
    <w:basedOn w:val="DefaultParagraphFont"/>
    <w:link w:val="Heading1"/>
    <w:uiPriority w:val="9"/>
    <w:rsid w:val="00FC693F"/>
    <w:rPr>
      <w:rFonts w:ascii="EB Garamond" w:hAnsi="EB Garamond" w:eastAsia="EB Garamond" w:cs="EB Garamond"/>
      <w:b/>
      <w:bCs/>
      <w:color w:val="365F91"/>
      <w:sz w:val="28"/>
      <w:szCs w:val="28"/>
    </w:rPr>
  </w:style>
  <w:style w:type="character" w:customStyle="1" w:styleId="Heading2Char">
    <w:name w:val="Heading 2 Char"/>
    <w:basedOn w:val="DefaultParagraphFont"/>
    <w:link w:val="Heading2"/>
    <w:uiPriority w:val="9"/>
    <w:rsid w:val="00FC693F"/>
    <w:rPr>
      <w:rFonts w:ascii="EB Garamond" w:hAnsi="EB Garamond" w:eastAsia="EB Garamond" w:cs="EB Garamond"/>
      <w:b/>
      <w:bCs/>
      <w:color w:val="4F81BD"/>
      <w:sz w:val="26"/>
      <w:szCs w:val="26"/>
    </w:rPr>
  </w:style>
  <w:style w:type="character" w:customStyle="1" w:styleId="Heading3Char">
    <w:name w:val="Heading 3 Char"/>
    <w:basedOn w:val="DefaultParagraphFont"/>
    <w:link w:val="Heading3"/>
    <w:uiPriority w:val="9"/>
    <w:rsid w:val="00FC693F"/>
    <w:rPr>
      <w:rFonts w:ascii="EB Garamond" w:hAnsi="EB Garamond" w:eastAsia="EB Garamond" w:cs="EB Garamond"/>
      <w:b/>
      <w:bCs/>
      <w:color w:val="4F81BD"/>
    </w:rPr>
  </w:style>
  <w:style w:type="paragraph" w:styleId="Title">
    <w:name w:val="Title"/>
    <w:basedOn w:val="Normal"/>
    <w:next w:val="Normal"/>
    <w:link w:val="TitleChar"/>
    <w:uiPriority w:val="10"/>
    <w:qFormat/>
    <w:rsid w:val="00FC693F"/>
    <w:pPr>
      <w:keepNext/>
      <w:pBdr>
        <w:bottom w:val="single" w:sz="8" w:space="4" w:color="4F81BD" w:themeColor="accent1"/>
      </w:pBdr>
      <w:spacing w:after="160" w:line="240" w:lineRule="auto" w:before="0"/>
      <w:contextualSpacing/>
    </w:pPr>
    <w:rPr>
      <w:rFonts w:ascii="EB Garamond" w:hAnsi="EB Garamond" w:eastAsia="EB Garamond" w:cs="EB Garamond"/>
      <w:b/>
      <w:color w:val="183445"/>
      <w:spacing w:val="5"/>
      <w:kern w:val="28"/>
      <w:sz w:val="56"/>
      <w:szCs w:val="56"/>
    </w:rPr>
  </w:style>
  <w:style w:type="character" w:customStyle="1" w:styleId="TitleChar">
    <w:name w:val="Title Char"/>
    <w:basedOn w:val="DefaultParagraphFont"/>
    <w:link w:val="Title"/>
    <w:uiPriority w:val="10"/>
    <w:rsid w:val="00FC693F"/>
    <w:rPr>
      <w:rFonts w:ascii="EB Garamond" w:hAnsi="EB Garamond" w:eastAsia="EB Garamond" w:cs="EB Garamond"/>
      <w:color w:val="17365D"/>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240"/>
    </w:pPr>
    <w:rPr>
      <w:rFonts w:ascii="EB Garamond" w:hAnsi="EB Garamond" w:eastAsia="EB Garamond" w:cs="EB Garamond"/>
      <w:b w:val="0"/>
      <w:i/>
      <w:iCs/>
      <w:color w:val="5A686F"/>
      <w:spacing w:val="15"/>
      <w:sz w:val="26"/>
      <w:szCs w:val="26"/>
    </w:rPr>
  </w:style>
  <w:style w:type="character" w:customStyle="1" w:styleId="SubtitleChar">
    <w:name w:val="Subtitle Char"/>
    <w:basedOn w:val="DefaultParagraphFont"/>
    <w:link w:val="Subtitle"/>
    <w:uiPriority w:val="11"/>
    <w:rsid w:val="00FC693F"/>
    <w:rPr>
      <w:rFonts w:ascii="EB Garamond" w:hAnsi="EB Garamond" w:eastAsia="EB Garamond" w:cs="EB Garamond"/>
      <w:i/>
      <w:iCs/>
      <w:color w:val="4F81BD"/>
      <w:spacing w:val="15"/>
      <w:sz w:val="24"/>
      <w:szCs w:val="24"/>
    </w:rPr>
  </w:style>
  <w:style w:type="paragraph" w:styleId="ListParagraph">
    <w:name w:val="List Paragraph"/>
    <w:basedOn w:val="Normal"/>
    <w:uiPriority w:val="34"/>
    <w:qFormat/>
    <w:rsid w:val="00FC693F"/>
    <w:pPr>
      <w:ind w:left="720"/>
      <w:contextualSpacing/>
    </w:pPr>
    <w:rPr>
      <w:rFonts w:ascii="EB Garamond" w:hAnsi="EB Garamond" w:eastAsia="EB Garamond" w:cs="EB Garamond"/>
    </w:rPr>
  </w:style>
  <w:style w:type="paragraph" w:styleId="BodyText">
    <w:name w:val="Body Text"/>
    <w:basedOn w:val="Normal"/>
    <w:link w:val="BodyTextChar"/>
    <w:uiPriority w:val="99"/>
    <w:unhideWhenUsed/>
    <w:rsid w:val="00AA1D8D"/>
    <w:pPr>
      <w:spacing w:after="120"/>
    </w:pPr>
    <w:rPr>
      <w:rFonts w:ascii="EB Garamond" w:hAnsi="EB Garamond" w:eastAsia="EB Garamond" w:cs="EB Garamond"/>
    </w:rPr>
  </w:style>
  <w:style w:type="character" w:customStyle="1" w:styleId="BodyTextChar">
    <w:name w:val="Body Text Char"/>
    <w:basedOn w:val="DefaultParagraphFont"/>
    <w:link w:val="BodyText"/>
    <w:uiPriority w:val="99"/>
    <w:rsid w:val="00AA1D8D"/>
    <w:rPr>
      <w:rFonts w:ascii="EB Garamond" w:hAnsi="EB Garamond" w:eastAsia="EB Garamond" w:cs="EB Garamond"/>
    </w:rPr>
  </w:style>
  <w:style w:type="paragraph" w:styleId="BodyText2">
    <w:name w:val="Body Text 2"/>
    <w:basedOn w:val="Normal"/>
    <w:link w:val="BodyText2Char"/>
    <w:uiPriority w:val="99"/>
    <w:unhideWhenUsed/>
    <w:rsid w:val="00AA1D8D"/>
    <w:pPr>
      <w:spacing w:after="120" w:line="480" w:lineRule="auto"/>
    </w:pPr>
    <w:rPr>
      <w:rFonts w:ascii="EB Garamond" w:hAnsi="EB Garamond" w:eastAsia="EB Garamond" w:cs="EB Garamond"/>
    </w:rPr>
  </w:style>
  <w:style w:type="character" w:customStyle="1" w:styleId="BodyText2Char">
    <w:name w:val="Body Text 2 Char"/>
    <w:basedOn w:val="DefaultParagraphFont"/>
    <w:link w:val="BodyText2"/>
    <w:uiPriority w:val="99"/>
    <w:rsid w:val="00AA1D8D"/>
    <w:rPr>
      <w:rFonts w:ascii="EB Garamond" w:hAnsi="EB Garamond" w:eastAsia="EB Garamond" w:cs="EB Garamond"/>
    </w:rPr>
  </w:style>
  <w:style w:type="paragraph" w:styleId="BodyText3">
    <w:name w:val="Body Text 3"/>
    <w:basedOn w:val="Normal"/>
    <w:link w:val="BodyText3Char"/>
    <w:uiPriority w:val="99"/>
    <w:unhideWhenUsed/>
    <w:rsid w:val="00AA1D8D"/>
    <w:pPr>
      <w:spacing w:after="120"/>
    </w:pPr>
    <w:rPr>
      <w:sz w:val="16"/>
      <w:szCs w:val="16"/>
      <w:rFonts w:ascii="EB Garamond" w:hAnsi="EB Garamond" w:eastAsia="EB Garamond" w:cs="EB Garamond"/>
    </w:rPr>
  </w:style>
  <w:style w:type="character" w:customStyle="1" w:styleId="BodyText3Char">
    <w:name w:val="Body Text 3 Char"/>
    <w:basedOn w:val="DefaultParagraphFont"/>
    <w:link w:val="BodyText3"/>
    <w:uiPriority w:val="99"/>
    <w:rsid w:val="00AA1D8D"/>
    <w:rPr>
      <w:sz w:val="16"/>
      <w:szCs w:val="16"/>
      <w:rFonts w:ascii="EB Garamond" w:hAnsi="EB Garamond" w:eastAsia="EB Garamond" w:cs="EB Garamond"/>
    </w:rPr>
  </w:style>
  <w:style w:type="paragraph" w:styleId="List">
    <w:name w:val="List"/>
    <w:basedOn w:val="Normal"/>
    <w:uiPriority w:val="99"/>
    <w:unhideWhenUsed/>
    <w:rsid w:val="00AA1D8D"/>
    <w:pPr>
      <w:ind w:left="360" w:hanging="360"/>
      <w:contextualSpacing/>
    </w:pPr>
    <w:rPr>
      <w:rFonts w:ascii="EB Garamond" w:hAnsi="EB Garamond" w:eastAsia="EB Garamond" w:cs="EB Garamond"/>
    </w:rPr>
  </w:style>
  <w:style w:type="paragraph" w:styleId="List2">
    <w:name w:val="List 2"/>
    <w:basedOn w:val="Normal"/>
    <w:uiPriority w:val="99"/>
    <w:unhideWhenUsed/>
    <w:rsid w:val="00326F90"/>
    <w:pPr>
      <w:ind w:left="720" w:hanging="360"/>
      <w:contextualSpacing/>
    </w:pPr>
    <w:rPr>
      <w:rFonts w:ascii="EB Garamond" w:hAnsi="EB Garamond" w:eastAsia="EB Garamond" w:cs="EB Garamond"/>
    </w:rPr>
  </w:style>
  <w:style w:type="paragraph" w:styleId="List3">
    <w:name w:val="List 3"/>
    <w:basedOn w:val="Normal"/>
    <w:uiPriority w:val="99"/>
    <w:unhideWhenUsed/>
    <w:rsid w:val="00326F90"/>
    <w:pPr>
      <w:ind w:left="1080" w:hanging="360"/>
      <w:contextualSpacing/>
    </w:pPr>
    <w:rPr>
      <w:rFonts w:ascii="EB Garamond" w:hAnsi="EB Garamond" w:eastAsia="EB Garamond" w:cs="EB Garamond"/>
    </w:rPr>
  </w:style>
  <w:style w:type="paragraph" w:styleId="ListBullet">
    <w:name w:val="List Bullet"/>
    <w:basedOn w:val="Normal"/>
    <w:uiPriority w:val="99"/>
    <w:unhideWhenUsed/>
    <w:rsid w:val="00326F90"/>
    <w:pPr>
      <w:numPr>
        <w:numId w:val="1"/>
      </w:numPr>
      <w:contextualSpacing/>
    </w:pPr>
    <w:rPr>
      <w:rFonts w:ascii="EB Garamond" w:hAnsi="EB Garamond" w:eastAsia="EB Garamond" w:cs="EB Garamond"/>
    </w:rPr>
  </w:style>
  <w:style w:type="paragraph" w:styleId="ListBullet2">
    <w:name w:val="List Bullet 2"/>
    <w:basedOn w:val="Normal"/>
    <w:uiPriority w:val="99"/>
    <w:unhideWhenUsed/>
    <w:rsid w:val="00326F90"/>
    <w:pPr>
      <w:numPr>
        <w:numId w:val="2"/>
      </w:numPr>
      <w:contextualSpacing/>
    </w:pPr>
    <w:rPr>
      <w:rFonts w:ascii="EB Garamond" w:hAnsi="EB Garamond" w:eastAsia="EB Garamond" w:cs="EB Garamond"/>
    </w:rPr>
  </w:style>
  <w:style w:type="paragraph" w:styleId="ListBullet3">
    <w:name w:val="List Bullet 3"/>
    <w:basedOn w:val="Normal"/>
    <w:uiPriority w:val="99"/>
    <w:unhideWhenUsed/>
    <w:rsid w:val="00326F90"/>
    <w:pPr>
      <w:numPr>
        <w:numId w:val="3"/>
      </w:numPr>
      <w:contextualSpacing/>
    </w:pPr>
    <w:rPr>
      <w:rFonts w:ascii="EB Garamond" w:hAnsi="EB Garamond" w:eastAsia="EB Garamond" w:cs="EB Garamond"/>
    </w:rPr>
  </w:style>
  <w:style w:type="paragraph" w:styleId="ListNumber">
    <w:name w:val="List Number"/>
    <w:basedOn w:val="Normal"/>
    <w:uiPriority w:val="99"/>
    <w:unhideWhenUsed/>
    <w:rsid w:val="00326F90"/>
    <w:pPr>
      <w:numPr>
        <w:numId w:val="5"/>
      </w:numPr>
      <w:contextualSpacing/>
    </w:pPr>
    <w:rPr>
      <w:rFonts w:ascii="EB Garamond" w:hAnsi="EB Garamond" w:eastAsia="EB Garamond" w:cs="EB Garamond"/>
    </w:rPr>
  </w:style>
  <w:style w:type="paragraph" w:styleId="ListNumber2">
    <w:name w:val="List Number 2"/>
    <w:basedOn w:val="Normal"/>
    <w:uiPriority w:val="99"/>
    <w:unhideWhenUsed/>
    <w:rsid w:val="0029639D"/>
    <w:pPr>
      <w:numPr>
        <w:numId w:val="6"/>
      </w:numPr>
      <w:contextualSpacing/>
    </w:pPr>
    <w:rPr>
      <w:rFonts w:ascii="EB Garamond" w:hAnsi="EB Garamond" w:eastAsia="EB Garamond" w:cs="EB Garamond"/>
    </w:rPr>
  </w:style>
  <w:style w:type="paragraph" w:styleId="ListNumber3">
    <w:name w:val="List Number 3"/>
    <w:basedOn w:val="Normal"/>
    <w:uiPriority w:val="99"/>
    <w:unhideWhenUsed/>
    <w:rsid w:val="0029639D"/>
    <w:pPr>
      <w:numPr>
        <w:numId w:val="7"/>
      </w:numPr>
      <w:contextualSpacing/>
    </w:pPr>
    <w:rPr>
      <w:rFonts w:ascii="EB Garamond" w:hAnsi="EB Garamond" w:eastAsia="EB Garamond" w:cs="EB Garamond"/>
    </w:rPr>
  </w:style>
  <w:style w:type="paragraph" w:styleId="ListContinue">
    <w:name w:val="List Continue"/>
    <w:basedOn w:val="Normal"/>
    <w:uiPriority w:val="99"/>
    <w:unhideWhenUsed/>
    <w:rsid w:val="0029639D"/>
    <w:pPr>
      <w:spacing w:after="120"/>
      <w:ind w:left="360"/>
      <w:contextualSpacing/>
    </w:pPr>
    <w:rPr>
      <w:rFonts w:ascii="EB Garamond" w:hAnsi="EB Garamond" w:eastAsia="EB Garamond" w:cs="EB Garamond"/>
    </w:rPr>
  </w:style>
  <w:style w:type="paragraph" w:styleId="ListContinue2">
    <w:name w:val="List Continue 2"/>
    <w:basedOn w:val="Normal"/>
    <w:uiPriority w:val="99"/>
    <w:unhideWhenUsed/>
    <w:rsid w:val="0029639D"/>
    <w:pPr>
      <w:spacing w:after="120"/>
      <w:ind w:left="720"/>
      <w:contextualSpacing/>
    </w:pPr>
    <w:rPr>
      <w:rFonts w:ascii="EB Garamond" w:hAnsi="EB Garamond" w:eastAsia="EB Garamond" w:cs="EB Garamond"/>
    </w:rPr>
  </w:style>
  <w:style w:type="paragraph" w:styleId="ListContinue3">
    <w:name w:val="List Continue 3"/>
    <w:basedOn w:val="Normal"/>
    <w:uiPriority w:val="99"/>
    <w:unhideWhenUsed/>
    <w:rsid w:val="0029639D"/>
    <w:pPr>
      <w:spacing w:after="120"/>
      <w:ind w:left="1080"/>
      <w:contextualSpacing/>
    </w:pPr>
    <w:rPr>
      <w:rFonts w:ascii="EB Garamond" w:hAnsi="EB Garamond" w:eastAsia="EB Garamond" w:cs="EB Garamond"/>
    </w:r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EB Garamond" w:hAnsi="EB Garamond" w:eastAsia="EB Garamond" w:cs="EB Garamond"/>
      <w:sz w:val="20"/>
      <w:szCs w:val="20"/>
    </w:rPr>
  </w:style>
  <w:style w:type="character" w:customStyle="1" w:styleId="MacroTextChar">
    <w:name w:val="Macro Text Char"/>
    <w:basedOn w:val="DefaultParagraphFont"/>
    <w:link w:val="MacroText"/>
    <w:uiPriority w:val="99"/>
    <w:rsid w:val="0029639D"/>
    <w:rPr>
      <w:rFonts w:ascii="EB Garamond" w:hAnsi="EB Garamond" w:eastAsia="EB Garamond" w:cs="EB Garamond"/>
      <w:sz w:val="20"/>
      <w:szCs w:val="20"/>
    </w:rPr>
  </w:style>
  <w:style w:type="paragraph" w:styleId="Quote">
    <w:name w:val="Quote"/>
    <w:basedOn w:val="Normal"/>
    <w:next w:val="Normal"/>
    <w:link w:val="QuoteChar"/>
    <w:uiPriority w:val="29"/>
    <w:qFormat/>
    <w:rsid w:val="00FC693F"/>
    <w:rPr>
      <w:i/>
      <w:iCs/>
      <w:color w:val="000000"/>
      <w:rFonts w:ascii="EB Garamond" w:hAnsi="EB Garamond" w:eastAsia="EB Garamond" w:cs="EB Garamond"/>
    </w:rPr>
  </w:style>
  <w:style w:type="character" w:customStyle="1" w:styleId="QuoteChar">
    <w:name w:val="Quote Char"/>
    <w:basedOn w:val="DefaultParagraphFont"/>
    <w:link w:val="Quote"/>
    <w:uiPriority w:val="29"/>
    <w:rsid w:val="00FC693F"/>
    <w:rPr>
      <w:i/>
      <w:iCs/>
      <w:color w:val="000000"/>
      <w:rFonts w:ascii="EB Garamond" w:hAnsi="EB Garamond" w:eastAsia="EB Garamond" w:cs="EB Garamond"/>
    </w:rPr>
  </w:style>
  <w:style w:type="character" w:customStyle="1" w:styleId="Heading4Char">
    <w:name w:val="Heading 4 Char"/>
    <w:basedOn w:val="DefaultParagraphFont"/>
    <w:link w:val="Heading4"/>
    <w:uiPriority w:val="9"/>
    <w:semiHidden/>
    <w:rsid w:val="00FC693F"/>
    <w:rPr>
      <w:rFonts w:ascii="EB Garamond" w:hAnsi="EB Garamond" w:eastAsia="EB Garamond" w:cs="EB Garamond"/>
      <w:b/>
      <w:bCs/>
      <w:i/>
      <w:iCs/>
      <w:color w:val="4F81BD"/>
    </w:rPr>
  </w:style>
  <w:style w:type="character" w:customStyle="1" w:styleId="Heading5Char">
    <w:name w:val="Heading 5 Char"/>
    <w:basedOn w:val="DefaultParagraphFont"/>
    <w:link w:val="Heading5"/>
    <w:uiPriority w:val="9"/>
    <w:semiHidden/>
    <w:rsid w:val="00FC693F"/>
    <w:rPr>
      <w:rFonts w:ascii="EB Garamond" w:hAnsi="EB Garamond" w:eastAsia="EB Garamond" w:cs="EB Garamond"/>
      <w:color w:val="243F60"/>
    </w:rPr>
  </w:style>
  <w:style w:type="character" w:customStyle="1" w:styleId="Heading6Char">
    <w:name w:val="Heading 6 Char"/>
    <w:basedOn w:val="DefaultParagraphFont"/>
    <w:link w:val="Heading6"/>
    <w:uiPriority w:val="9"/>
    <w:semiHidden/>
    <w:rsid w:val="00FC693F"/>
    <w:rPr>
      <w:rFonts w:ascii="EB Garamond" w:hAnsi="EB Garamond" w:eastAsia="EB Garamond" w:cs="EB Garamond"/>
      <w:i/>
      <w:iCs/>
      <w:color w:val="243F60"/>
    </w:rPr>
  </w:style>
  <w:style w:type="character" w:customStyle="1" w:styleId="Heading7Char">
    <w:name w:val="Heading 7 Char"/>
    <w:basedOn w:val="DefaultParagraphFont"/>
    <w:link w:val="Heading7"/>
    <w:uiPriority w:val="9"/>
    <w:semiHidden/>
    <w:rsid w:val="00FC693F"/>
    <w:rPr>
      <w:rFonts w:ascii="EB Garamond" w:hAnsi="EB Garamond" w:eastAsia="EB Garamond" w:cs="EB Garamond"/>
      <w:i/>
      <w:iCs/>
      <w:color w:val="404040"/>
    </w:rPr>
  </w:style>
  <w:style w:type="character" w:customStyle="1" w:styleId="Heading8Char">
    <w:name w:val="Heading 8 Char"/>
    <w:basedOn w:val="DefaultParagraphFont"/>
    <w:link w:val="Heading8"/>
    <w:uiPriority w:val="9"/>
    <w:semiHidden/>
    <w:rsid w:val="00FC693F"/>
    <w:rPr>
      <w:rFonts w:ascii="EB Garamond" w:hAnsi="EB Garamond" w:eastAsia="EB Garamond" w:cs="EB Garamond"/>
      <w:color w:val="4F81BD"/>
      <w:sz w:val="20"/>
      <w:szCs w:val="20"/>
    </w:rPr>
  </w:style>
  <w:style w:type="character" w:customStyle="1" w:styleId="Heading9Char">
    <w:name w:val="Heading 9 Char"/>
    <w:basedOn w:val="DefaultParagraphFont"/>
    <w:link w:val="Heading9"/>
    <w:uiPriority w:val="9"/>
    <w:semiHidden/>
    <w:rsid w:val="00FC693F"/>
    <w:rPr>
      <w:rFonts w:ascii="EB Garamond" w:hAnsi="EB Garamond" w:eastAsia="EB Garamond" w:cs="EB Garamond"/>
      <w:i/>
      <w:iCs/>
      <w:color w:val="404040"/>
      <w:sz w:val="20"/>
      <w:szCs w:val="20"/>
    </w:rPr>
  </w:style>
  <w:style w:type="paragraph" w:styleId="Caption">
    <w:name w:val="caption"/>
    <w:basedOn w:val="Normal"/>
    <w:next w:val="Normal"/>
    <w:uiPriority w:val="35"/>
    <w:semiHidden/>
    <w:unhideWhenUsed/>
    <w:qFormat/>
    <w:rsid w:val="00FC693F"/>
    <w:pPr>
      <w:spacing w:line="240" w:lineRule="auto"/>
    </w:pPr>
    <w:rPr>
      <w:b/>
      <w:bCs/>
      <w:color w:val="4F81BD"/>
      <w:sz w:val="18"/>
      <w:szCs w:val="18"/>
      <w:rFonts w:ascii="EB Garamond" w:hAnsi="EB Garamond" w:eastAsia="EB Garamond" w:cs="EB Garamond"/>
    </w:rPr>
  </w:style>
  <w:style w:type="character" w:styleId="Strong">
    <w:name w:val="Strong"/>
    <w:basedOn w:val="DefaultParagraphFont"/>
    <w:uiPriority w:val="22"/>
    <w:qFormat/>
    <w:rsid w:val="00FC693F"/>
    <w:rPr>
      <w:b/>
      <w:bCs/>
      <w:rFonts w:ascii="EB Garamond" w:hAnsi="EB Garamond" w:eastAsia="EB Garamond" w:cs="EB Garamond"/>
    </w:rPr>
  </w:style>
  <w:style w:type="character" w:styleId="Emphasis">
    <w:name w:val="Emphasis"/>
    <w:basedOn w:val="DefaultParagraphFont"/>
    <w:uiPriority w:val="20"/>
    <w:qFormat/>
    <w:rsid w:val="00FC693F"/>
    <w:rPr>
      <w:i/>
      <w:iCs/>
      <w:rFonts w:ascii="EB Garamond" w:hAnsi="EB Garamond" w:eastAsia="EB Garamond" w:cs="EB Garamond"/>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rFonts w:ascii="EB Garamond" w:hAnsi="EB Garamond" w:eastAsia="EB Garamond" w:cs="EB Garamond"/>
    </w:rPr>
  </w:style>
  <w:style w:type="character" w:customStyle="1" w:styleId="IntenseQuoteChar">
    <w:name w:val="Intense Quote Char"/>
    <w:basedOn w:val="DefaultParagraphFont"/>
    <w:link w:val="IntenseQuote"/>
    <w:uiPriority w:val="30"/>
    <w:rsid w:val="00FC693F"/>
    <w:rPr>
      <w:b/>
      <w:bCs/>
      <w:i/>
      <w:iCs/>
      <w:color w:val="4F81BD"/>
      <w:rFonts w:ascii="EB Garamond" w:hAnsi="EB Garamond" w:eastAsia="EB Garamond" w:cs="EB Garamond"/>
    </w:rPr>
  </w:style>
  <w:style w:type="character" w:styleId="SubtleEmphasis">
    <w:name w:val="Subtle Emphasis"/>
    <w:basedOn w:val="DefaultParagraphFont"/>
    <w:uiPriority w:val="19"/>
    <w:qFormat/>
    <w:rsid w:val="00FC693F"/>
    <w:rPr>
      <w:i/>
      <w:iCs/>
      <w:color w:val="808080"/>
      <w:rFonts w:ascii="EB Garamond" w:hAnsi="EB Garamond" w:eastAsia="EB Garamond" w:cs="EB Garamond"/>
    </w:rPr>
  </w:style>
  <w:style w:type="character" w:styleId="IntenseEmphasis">
    <w:name w:val="Intense Emphasis"/>
    <w:basedOn w:val="DefaultParagraphFont"/>
    <w:uiPriority w:val="21"/>
    <w:qFormat/>
    <w:rsid w:val="00FC693F"/>
    <w:rPr>
      <w:b/>
      <w:bCs/>
      <w:i/>
      <w:iCs/>
      <w:color w:val="4F81BD"/>
      <w:rFonts w:ascii="EB Garamond" w:hAnsi="EB Garamond" w:eastAsia="EB Garamond" w:cs="EB Garamond"/>
    </w:rPr>
  </w:style>
  <w:style w:type="character" w:styleId="SubtleReference">
    <w:name w:val="Subtle Reference"/>
    <w:basedOn w:val="DefaultParagraphFont"/>
    <w:uiPriority w:val="31"/>
    <w:qFormat/>
    <w:rsid w:val="00FC693F"/>
    <w:rPr>
      <w:smallCaps/>
      <w:color w:val="C0504D"/>
      <w:u w:val="single"/>
      <w:rFonts w:ascii="EB Garamond" w:hAnsi="EB Garamond" w:eastAsia="EB Garamond" w:cs="EB Garamond"/>
    </w:rPr>
  </w:style>
  <w:style w:type="character" w:styleId="IntenseReference">
    <w:name w:val="Intense Reference"/>
    <w:basedOn w:val="DefaultParagraphFont"/>
    <w:uiPriority w:val="32"/>
    <w:qFormat/>
    <w:rsid w:val="00FC693F"/>
    <w:rPr>
      <w:b/>
      <w:bCs/>
      <w:smallCaps/>
      <w:color w:val="C0504D"/>
      <w:spacing w:val="5"/>
      <w:u w:val="single"/>
      <w:rFonts w:ascii="EB Garamond" w:hAnsi="EB Garamond" w:eastAsia="EB Garamond" w:cs="EB Garamond"/>
    </w:rPr>
  </w:style>
  <w:style w:type="character" w:styleId="BookTitle">
    <w:name w:val="Book Title"/>
    <w:basedOn w:val="DefaultParagraphFont"/>
    <w:uiPriority w:val="33"/>
    <w:qFormat/>
    <w:rsid w:val="00FC693F"/>
    <w:rPr>
      <w:b/>
      <w:bCs/>
      <w:smallCaps/>
      <w:spacing w:val="5"/>
      <w:rFonts w:ascii="EB Garamond" w:hAnsi="EB Garamond" w:eastAsia="EB Garamond" w:cs="EB Garamond"/>
    </w:rPr>
  </w:style>
  <w:style w:type="paragraph" w:styleId="TOCHeading">
    <w:name w:val="TOC Heading"/>
    <w:basedOn w:val="Heading1"/>
    <w:next w:val="Normal"/>
    <w:uiPriority w:val="39"/>
    <w:semiHidden/>
    <w:unhideWhenUsed/>
    <w:qFormat/>
    <w:rsid w:val="00FC693F"/>
    <w:pPr>
      <w:outlineLvl w:val="9"/>
    </w:pPr>
    <w:rPr>
      <w:rFonts w:ascii="EB Garamond" w:hAnsi="EB Garamond" w:eastAsia="EB Garamond" w:cs="EB Garamond"/>
    </w:r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rPr>
      <w:rFonts w:ascii="EB Garamond" w:hAnsi="EB Garamond" w:eastAsia="EB Garamond" w:cs="EB Garamond"/>
    </w:rPr>
  </w:style>
  <w:style w:type="table" w:styleId="LightShading">
    <w:name w:val="Light Shading"/>
    <w:basedOn w:val="TableNormal"/>
    <w:uiPriority w:val="60"/>
    <w:rsid w:val="00FC693F"/>
    <w:pPr>
      <w:spacing w:after="0" w:line="240" w:lineRule="auto"/>
    </w:pPr>
    <w:rPr>
      <w:color w:val="000000"/>
      <w:rFonts w:ascii="EB Garamond" w:hAnsi="EB Garamond" w:eastAsia="EB Garamond" w:cs="EB Garamond"/>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rFonts w:ascii="EB Garamond" w:hAnsi="EB Garamond" w:eastAsia="EB Garamond" w:cs="EB Garamond"/>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rFonts w:ascii="EB Garamond" w:hAnsi="EB Garamond" w:eastAsia="EB Garamond" w:cs="EB Garamond"/>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rFonts w:ascii="EB Garamond" w:hAnsi="EB Garamond" w:eastAsia="EB Garamond" w:cs="EB Garamond"/>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rFonts w:ascii="EB Garamond" w:hAnsi="EB Garamond" w:eastAsia="EB Garamond" w:cs="EB Garamond"/>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rFonts w:ascii="EB Garamond" w:hAnsi="EB Garamond" w:eastAsia="EB Garamond" w:cs="EB Garamond"/>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rFonts w:ascii="EB Garamond" w:hAnsi="EB Garamond" w:eastAsia="EB Garamond" w:cs="EB Garamond"/>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rPr>
      <w:rFonts w:ascii="EB Garamond" w:hAnsi="EB Garamond" w:eastAsia="EB Garamond" w:cs="EB Garamond"/>
    </w:r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rPr>
      <w:rFonts w:ascii="EB Garamond" w:hAnsi="EB Garamond" w:eastAsia="EB Garamond" w:cs="EB Garamond"/>
    </w:r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rPr>
      <w:rFonts w:ascii="EB Garamond" w:hAnsi="EB Garamond" w:eastAsia="EB Garamond" w:cs="EB Garamond"/>
    </w:r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rPr>
      <w:rFonts w:ascii="EB Garamond" w:hAnsi="EB Garamond" w:eastAsia="EB Garamond" w:cs="EB Garamond"/>
    </w:r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rPr>
      <w:rFonts w:ascii="EB Garamond" w:hAnsi="EB Garamond" w:eastAsia="EB Garamond" w:cs="EB Garamond"/>
    </w:r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rPr>
      <w:rFonts w:ascii="EB Garamond" w:hAnsi="EB Garamond" w:eastAsia="EB Garamond" w:cs="EB Garamond"/>
    </w:r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rPr>
      <w:rFonts w:ascii="EB Garamond" w:hAnsi="EB Garamond" w:eastAsia="EB Garamond" w:cs="EB Garamond"/>
    </w:r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EB Garamond" w:hAnsi="EB Garamond" w:eastAsia="EB Garamond" w:cs="EB Garamond"/>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EB Garamond" w:hAnsi="EB Garamond" w:eastAsia="EB Garamond" w:cs="EB Garamond"/>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EB Garamond" w:hAnsi="EB Garamond" w:eastAsia="EB Garamond" w:cs="EB Garamond"/>
        <w:b/>
        <w:bCs/>
      </w:rPr>
    </w:tblStylePr>
    <w:tblStylePr w:type="lastCol">
      <w:rPr>
        <w:rFonts w:ascii="EB Garamond" w:hAnsi="EB Garamond" w:eastAsia="EB Garamond" w:cs="EB Garamond"/>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rPr>
      <w:rFonts w:ascii="EB Garamond" w:hAnsi="EB Garamond" w:eastAsia="EB Garamond" w:cs="EB Garamond"/>
    </w:r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EB Garamond" w:hAnsi="EB Garamond" w:eastAsia="EB Garamond" w:cs="EB Garamond"/>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EB Garamond" w:hAnsi="EB Garamond" w:eastAsia="EB Garamond" w:cs="EB Garamond"/>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EB Garamond" w:hAnsi="EB Garamond" w:eastAsia="EB Garamond" w:cs="EB Garamond"/>
        <w:b/>
        <w:bCs/>
      </w:rPr>
    </w:tblStylePr>
    <w:tblStylePr w:type="lastCol">
      <w:rPr>
        <w:rFonts w:ascii="EB Garamond" w:hAnsi="EB Garamond" w:eastAsia="EB Garamond" w:cs="EB Garamond"/>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rPr>
      <w:rFonts w:ascii="EB Garamond" w:hAnsi="EB Garamond" w:eastAsia="EB Garamond" w:cs="EB Garamond"/>
    </w:r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EB Garamond" w:hAnsi="EB Garamond" w:eastAsia="EB Garamond" w:cs="EB Garamond"/>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EB Garamond" w:hAnsi="EB Garamond" w:eastAsia="EB Garamond" w:cs="EB Garamond"/>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EB Garamond" w:hAnsi="EB Garamond" w:eastAsia="EB Garamond" w:cs="EB Garamond"/>
        <w:b/>
        <w:bCs/>
      </w:rPr>
    </w:tblStylePr>
    <w:tblStylePr w:type="lastCol">
      <w:rPr>
        <w:rFonts w:ascii="EB Garamond" w:hAnsi="EB Garamond" w:eastAsia="EB Garamond" w:cs="EB Garamond"/>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rPr>
      <w:rFonts w:ascii="EB Garamond" w:hAnsi="EB Garamond" w:eastAsia="EB Garamond" w:cs="EB Garamond"/>
    </w:r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EB Garamond" w:hAnsi="EB Garamond" w:eastAsia="EB Garamond" w:cs="EB Garamond"/>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EB Garamond" w:hAnsi="EB Garamond" w:eastAsia="EB Garamond" w:cs="EB Garamond"/>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EB Garamond" w:hAnsi="EB Garamond" w:eastAsia="EB Garamond" w:cs="EB Garamond"/>
        <w:b/>
        <w:bCs/>
      </w:rPr>
    </w:tblStylePr>
    <w:tblStylePr w:type="lastCol">
      <w:rPr>
        <w:rFonts w:ascii="EB Garamond" w:hAnsi="EB Garamond" w:eastAsia="EB Garamond" w:cs="EB Garamond"/>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rPr>
      <w:rFonts w:ascii="EB Garamond" w:hAnsi="EB Garamond" w:eastAsia="EB Garamond" w:cs="EB Garamond"/>
    </w:r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EB Garamond" w:hAnsi="EB Garamond" w:eastAsia="EB Garamond" w:cs="EB Garamond"/>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EB Garamond" w:hAnsi="EB Garamond" w:eastAsia="EB Garamond" w:cs="EB Garamond"/>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EB Garamond" w:hAnsi="EB Garamond" w:eastAsia="EB Garamond" w:cs="EB Garamond"/>
        <w:b/>
        <w:bCs/>
      </w:rPr>
    </w:tblStylePr>
    <w:tblStylePr w:type="lastCol">
      <w:rPr>
        <w:rFonts w:ascii="EB Garamond" w:hAnsi="EB Garamond" w:eastAsia="EB Garamond" w:cs="EB Garamond"/>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rPr>
      <w:rFonts w:ascii="EB Garamond" w:hAnsi="EB Garamond" w:eastAsia="EB Garamond" w:cs="EB Garamond"/>
    </w:r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EB Garamond" w:hAnsi="EB Garamond" w:eastAsia="EB Garamond" w:cs="EB Garamond"/>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EB Garamond" w:hAnsi="EB Garamond" w:eastAsia="EB Garamond" w:cs="EB Garamond"/>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EB Garamond" w:hAnsi="EB Garamond" w:eastAsia="EB Garamond" w:cs="EB Garamond"/>
        <w:b/>
        <w:bCs/>
      </w:rPr>
    </w:tblStylePr>
    <w:tblStylePr w:type="lastCol">
      <w:rPr>
        <w:rFonts w:ascii="EB Garamond" w:hAnsi="EB Garamond" w:eastAsia="EB Garamond" w:cs="EB Garamond"/>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rPr>
      <w:rFonts w:ascii="EB Garamond" w:hAnsi="EB Garamond" w:eastAsia="EB Garamond" w:cs="EB Garamond"/>
    </w:r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EB Garamond" w:hAnsi="EB Garamond" w:eastAsia="EB Garamond" w:cs="EB Garamond"/>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EB Garamond" w:hAnsi="EB Garamond" w:eastAsia="EB Garamond" w:cs="EB Garamond"/>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EB Garamond" w:hAnsi="EB Garamond" w:eastAsia="EB Garamond" w:cs="EB Garamond"/>
        <w:b/>
        <w:bCs/>
      </w:rPr>
    </w:tblStylePr>
    <w:tblStylePr w:type="lastCol">
      <w:rPr>
        <w:rFonts w:ascii="EB Garamond" w:hAnsi="EB Garamond" w:eastAsia="EB Garamond" w:cs="EB Garamond"/>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rPr>
      <w:rFonts w:ascii="EB Garamond" w:hAnsi="EB Garamond" w:eastAsia="EB Garamond" w:cs="EB Garamond"/>
    </w:r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rPr>
      <w:rFonts w:ascii="EB Garamond" w:hAnsi="EB Garamond" w:eastAsia="EB Garamond" w:cs="EB Garamond"/>
    </w:r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rPr>
      <w:rFonts w:ascii="EB Garamond" w:hAnsi="EB Garamond" w:eastAsia="EB Garamond" w:cs="EB Garamond"/>
    </w:r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rPr>
      <w:rFonts w:ascii="EB Garamond" w:hAnsi="EB Garamond" w:eastAsia="EB Garamond" w:cs="EB Garamond"/>
    </w:r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rPr>
      <w:rFonts w:ascii="EB Garamond" w:hAnsi="EB Garamond" w:eastAsia="EB Garamond" w:cs="EB Garamond"/>
    </w:r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rPr>
      <w:rFonts w:ascii="EB Garamond" w:hAnsi="EB Garamond" w:eastAsia="EB Garamond" w:cs="EB Garamond"/>
    </w:r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rPr>
      <w:rFonts w:ascii="EB Garamond" w:hAnsi="EB Garamond" w:eastAsia="EB Garamond" w:cs="EB Garamond"/>
    </w:r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rPr>
      <w:rFonts w:ascii="EB Garamond" w:hAnsi="EB Garamond" w:eastAsia="EB Garamond" w:cs="EB Garamond"/>
    </w:r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rPr>
      <w:rFonts w:ascii="EB Garamond" w:hAnsi="EB Garamond" w:eastAsia="EB Garamond" w:cs="EB Garamond"/>
    </w:r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rPr>
      <w:rFonts w:ascii="EB Garamond" w:hAnsi="EB Garamond" w:eastAsia="EB Garamond" w:cs="EB Garamond"/>
    </w:r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rPr>
      <w:rFonts w:ascii="EB Garamond" w:hAnsi="EB Garamond" w:eastAsia="EB Garamond" w:cs="EB Garamond"/>
    </w:r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rPr>
      <w:rFonts w:ascii="EB Garamond" w:hAnsi="EB Garamond" w:eastAsia="EB Garamond" w:cs="EB Garamond"/>
    </w:r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rPr>
      <w:rFonts w:ascii="EB Garamond" w:hAnsi="EB Garamond" w:eastAsia="EB Garamond" w:cs="EB Garamond"/>
    </w:r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rPr>
      <w:rFonts w:ascii="EB Garamond" w:hAnsi="EB Garamond" w:eastAsia="EB Garamond" w:cs="EB Garamond"/>
    </w:r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rPr>
      <w:rFonts w:ascii="EB Garamond" w:hAnsi="EB Garamond" w:eastAsia="EB Garamond" w:cs="EB Garamond"/>
    </w:rPr>
  </w:style>
  <w:style w:type="table" w:styleId="MediumList1">
    <w:name w:val="Medium List 1"/>
    <w:basedOn w:val="TableNormal"/>
    <w:uiPriority w:val="65"/>
    <w:rsid w:val="00CB0664"/>
    <w:pPr>
      <w:spacing w:after="0" w:line="240" w:lineRule="auto"/>
    </w:pPr>
    <w:rPr>
      <w:color w:val="000000"/>
      <w:rFonts w:ascii="EB Garamond" w:hAnsi="EB Garamond" w:eastAsia="EB Garamond" w:cs="EB Garamond"/>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EB Garamond" w:hAnsi="EB Garamond" w:eastAsia="EB Garamond" w:cs="EB Garamond"/>
      </w:rPr>
      <w:tblPr/>
      <w:tcPr>
        <w:tcBorders>
          <w:top w:val="nil"/>
          <w:bottom w:val="single" w:sz="8" w:space="0" w:color="000000" w:themeColor="text1"/>
        </w:tcBorders>
      </w:tcPr>
    </w:tblStylePr>
    <w:tblStylePr w:type="lastRow">
      <w:rPr>
        <w:b/>
        <w:bCs/>
        <w:color w:val="1F497D"/>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rFonts w:ascii="EB Garamond" w:hAnsi="EB Garamond" w:eastAsia="EB Garamond" w:cs="EB Garamond"/>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EB Garamond" w:hAnsi="EB Garamond" w:eastAsia="EB Garamond" w:cs="EB Garamond"/>
      </w:rPr>
      <w:tblPr/>
      <w:tcPr>
        <w:tcBorders>
          <w:top w:val="nil"/>
          <w:bottom w:val="single" w:sz="8" w:space="0" w:color="4F81BD" w:themeColor="accent1"/>
        </w:tcBorders>
      </w:tcPr>
    </w:tblStylePr>
    <w:tblStylePr w:type="lastRow">
      <w:rPr>
        <w:b/>
        <w:bCs/>
        <w:color w:val="1F497D"/>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rFonts w:ascii="EB Garamond" w:hAnsi="EB Garamond" w:eastAsia="EB Garamond" w:cs="EB Garamond"/>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EB Garamond" w:hAnsi="EB Garamond" w:eastAsia="EB Garamond" w:cs="EB Garamond"/>
      </w:rPr>
      <w:tblPr/>
      <w:tcPr>
        <w:tcBorders>
          <w:top w:val="nil"/>
          <w:bottom w:val="single" w:sz="8" w:space="0" w:color="C0504D" w:themeColor="accent2"/>
        </w:tcBorders>
      </w:tcPr>
    </w:tblStylePr>
    <w:tblStylePr w:type="lastRow">
      <w:rPr>
        <w:b/>
        <w:bCs/>
        <w:color w:val="1F497D"/>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rFonts w:ascii="EB Garamond" w:hAnsi="EB Garamond" w:eastAsia="EB Garamond" w:cs="EB Garamond"/>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EB Garamond" w:hAnsi="EB Garamond" w:eastAsia="EB Garamond" w:cs="EB Garamond"/>
      </w:rPr>
      <w:tblPr/>
      <w:tcPr>
        <w:tcBorders>
          <w:top w:val="nil"/>
          <w:bottom w:val="single" w:sz="8" w:space="0" w:color="9BBB59" w:themeColor="accent3"/>
        </w:tcBorders>
      </w:tcPr>
    </w:tblStylePr>
    <w:tblStylePr w:type="lastRow">
      <w:rPr>
        <w:b/>
        <w:bCs/>
        <w:color w:val="1F497D"/>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rFonts w:ascii="EB Garamond" w:hAnsi="EB Garamond" w:eastAsia="EB Garamond" w:cs="EB Garamond"/>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EB Garamond" w:hAnsi="EB Garamond" w:eastAsia="EB Garamond" w:cs="EB Garamond"/>
      </w:rPr>
      <w:tblPr/>
      <w:tcPr>
        <w:tcBorders>
          <w:top w:val="nil"/>
          <w:bottom w:val="single" w:sz="8" w:space="0" w:color="8064A2" w:themeColor="accent4"/>
        </w:tcBorders>
      </w:tcPr>
    </w:tblStylePr>
    <w:tblStylePr w:type="lastRow">
      <w:rPr>
        <w:b/>
        <w:bCs/>
        <w:color w:val="1F497D"/>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rFonts w:ascii="EB Garamond" w:hAnsi="EB Garamond" w:eastAsia="EB Garamond" w:cs="EB Garamond"/>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EB Garamond" w:hAnsi="EB Garamond" w:eastAsia="EB Garamond" w:cs="EB Garamond"/>
      </w:rPr>
      <w:tblPr/>
      <w:tcPr>
        <w:tcBorders>
          <w:top w:val="nil"/>
          <w:bottom w:val="single" w:sz="8" w:space="0" w:color="4BACC6" w:themeColor="accent5"/>
        </w:tcBorders>
      </w:tcPr>
    </w:tblStylePr>
    <w:tblStylePr w:type="lastRow">
      <w:rPr>
        <w:b/>
        <w:bCs/>
        <w:color w:val="1F497D"/>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rFonts w:ascii="EB Garamond" w:hAnsi="EB Garamond" w:eastAsia="EB Garamond" w:cs="EB Garamond"/>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EB Garamond" w:hAnsi="EB Garamond" w:eastAsia="EB Garamond" w:cs="EB Garamond"/>
      </w:rPr>
      <w:tblPr/>
      <w:tcPr>
        <w:tcBorders>
          <w:top w:val="nil"/>
          <w:bottom w:val="single" w:sz="8" w:space="0" w:color="F79646" w:themeColor="accent6"/>
        </w:tcBorders>
      </w:tcPr>
    </w:tblStylePr>
    <w:tblStylePr w:type="lastRow">
      <w:rPr>
        <w:b/>
        <w:bCs/>
        <w:color w:val="1F497D"/>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rPr>
      <w:rFonts w:ascii="EB Garamond" w:hAnsi="EB Garamond" w:eastAsia="EB Garamond" w:cs="EB Garamond"/>
    </w:r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rPr>
      <w:rFonts w:ascii="EB Garamond" w:hAnsi="EB Garamond" w:eastAsia="EB Garamond" w:cs="EB Garamond"/>
    </w:r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rPr>
      <w:rFonts w:ascii="EB Garamond" w:hAnsi="EB Garamond" w:eastAsia="EB Garamond" w:cs="EB Garamond"/>
    </w:r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rPr>
      <w:rFonts w:ascii="EB Garamond" w:hAnsi="EB Garamond" w:eastAsia="EB Garamond" w:cs="EB Garamond"/>
    </w:r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rPr>
      <w:rFonts w:ascii="EB Garamond" w:hAnsi="EB Garamond" w:eastAsia="EB Garamond" w:cs="EB Garamond"/>
    </w:r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rPr>
      <w:rFonts w:ascii="EB Garamond" w:hAnsi="EB Garamond" w:eastAsia="EB Garamond" w:cs="EB Garamond"/>
    </w:r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rPr>
      <w:rFonts w:ascii="EB Garamond" w:hAnsi="EB Garamond" w:eastAsia="EB Garamond" w:cs="EB Garamond"/>
    </w:rPr>
  </w:style>
  <w:style w:type="table" w:styleId="MediumGrid2">
    <w:name w:val="Medium Grid 2"/>
    <w:basedOn w:val="TableNormal"/>
    <w:uiPriority w:val="68"/>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rPr>
      <w:tblPr/>
      <w:tcPr>
        <w:shd w:val="clear" w:color="auto" w:fill="E6E6E6" w:themeFill="text1" w:themeFillTint="19"/>
      </w:tcPr>
    </w:tblStylePr>
    <w:tblStylePr w:type="lastRow">
      <w:rPr>
        <w:b/>
        <w:bCs/>
        <w:color w:val="000000"/>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rPr>
      <w:tblPr/>
      <w:tcPr>
        <w:shd w:val="clear" w:color="auto" w:fill="EDF2F8" w:themeFill="accent1" w:themeFillTint="19"/>
      </w:tcPr>
    </w:tblStylePr>
    <w:tblStylePr w:type="lastRow">
      <w:rPr>
        <w:b/>
        <w:bCs/>
        <w:color w:val="000000"/>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rPr>
      <w:tblPr/>
      <w:tcPr>
        <w:shd w:val="clear" w:color="auto" w:fill="F8EDED" w:themeFill="accent2" w:themeFillTint="19"/>
      </w:tcPr>
    </w:tblStylePr>
    <w:tblStylePr w:type="lastRow">
      <w:rPr>
        <w:b/>
        <w:bCs/>
        <w:color w:val="000000"/>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rPr>
      <w:tblPr/>
      <w:tcPr>
        <w:shd w:val="clear" w:color="auto" w:fill="F5F8EE" w:themeFill="accent3" w:themeFillTint="19"/>
      </w:tcPr>
    </w:tblStylePr>
    <w:tblStylePr w:type="lastRow">
      <w:rPr>
        <w:b/>
        <w:bCs/>
        <w:color w:val="000000"/>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rPr>
      <w:tblPr/>
      <w:tcPr>
        <w:shd w:val="clear" w:color="auto" w:fill="F2EFF6" w:themeFill="accent4" w:themeFillTint="19"/>
      </w:tcPr>
    </w:tblStylePr>
    <w:tblStylePr w:type="lastRow">
      <w:rPr>
        <w:b/>
        <w:bCs/>
        <w:color w:val="000000"/>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rPr>
      <w:tblPr/>
      <w:tcPr>
        <w:shd w:val="clear" w:color="auto" w:fill="EDF6F9" w:themeFill="accent5" w:themeFillTint="19"/>
      </w:tcPr>
    </w:tblStylePr>
    <w:tblStylePr w:type="lastRow">
      <w:rPr>
        <w:b/>
        <w:bCs/>
        <w:color w:val="000000"/>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rPr>
      <w:tblPr/>
      <w:tcPr>
        <w:shd w:val="clear" w:color="auto" w:fill="FEF4EC" w:themeFill="accent6" w:themeFillTint="19"/>
      </w:tcPr>
    </w:tblStylePr>
    <w:tblStylePr w:type="lastRow">
      <w:rPr>
        <w:b/>
        <w:bCs/>
        <w:color w:val="000000"/>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rPr>
      <w:rFonts w:ascii="EB Garamond" w:hAnsi="EB Garamond" w:eastAsia="EB Garamond" w:cs="EB Garamond"/>
    </w:r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rPr>
      <w:rFonts w:ascii="EB Garamond" w:hAnsi="EB Garamond" w:eastAsia="EB Garamond" w:cs="EB Garamond"/>
    </w:r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rPr>
      <w:rFonts w:ascii="EB Garamond" w:hAnsi="EB Garamond" w:eastAsia="EB Garamond" w:cs="EB Garamond"/>
    </w:r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rPr>
      <w:rFonts w:ascii="EB Garamond" w:hAnsi="EB Garamond" w:eastAsia="EB Garamond" w:cs="EB Garamond"/>
    </w:r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rPr>
      <w:rFonts w:ascii="EB Garamond" w:hAnsi="EB Garamond" w:eastAsia="EB Garamond" w:cs="EB Garamond"/>
    </w:r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rPr>
      <w:rFonts w:ascii="EB Garamond" w:hAnsi="EB Garamond" w:eastAsia="EB Garamond" w:cs="EB Garamond"/>
    </w:r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rPr>
      <w:rFonts w:ascii="EB Garamond" w:hAnsi="EB Garamond" w:eastAsia="EB Garamond" w:cs="EB Garamond"/>
    </w:rPr>
  </w:style>
  <w:style w:type="table" w:styleId="DarkList">
    <w:name w:val="Dark List"/>
    <w:basedOn w:val="TableNormal"/>
    <w:uiPriority w:val="70"/>
    <w:rsid w:val="00CB0664"/>
    <w:pPr>
      <w:spacing w:after="0" w:line="240" w:lineRule="auto"/>
    </w:pPr>
    <w:rPr>
      <w:color w:val="FFFFFF"/>
      <w:rFonts w:ascii="EB Garamond" w:hAnsi="EB Garamond" w:eastAsia="EB Garamond" w:cs="EB Garamond"/>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rFonts w:ascii="EB Garamond" w:hAnsi="EB Garamond" w:eastAsia="EB Garamond" w:cs="EB Garamond"/>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rFonts w:ascii="EB Garamond" w:hAnsi="EB Garamond" w:eastAsia="EB Garamond" w:cs="EB Garamond"/>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rFonts w:ascii="EB Garamond" w:hAnsi="EB Garamond" w:eastAsia="EB Garamond" w:cs="EB Garamond"/>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rFonts w:ascii="EB Garamond" w:hAnsi="EB Garamond" w:eastAsia="EB Garamond" w:cs="EB Garamond"/>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rFonts w:ascii="EB Garamond" w:hAnsi="EB Garamond" w:eastAsia="EB Garamond" w:cs="EB Garamond"/>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rFonts w:ascii="EB Garamond" w:hAnsi="EB Garamond" w:eastAsia="EB Garamond" w:cs="EB Garamond"/>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rFonts w:ascii="EB Garamond" w:hAnsi="EB Garamond" w:eastAsia="EB Garamond" w:cs="EB Garamond"/>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rPr>
      <w:tblPr/>
      <w:tcPr>
        <w:tcBorders>
          <w:top w:val="single" w:sz="6" w:space="0" w:color="FFFFFF" w:themeColor="background1"/>
        </w:tcBorders>
        <w:shd w:val="clear" w:color="auto" w:fill="000000" w:themeFill="text1" w:themeFillShade="99"/>
      </w:tcPr>
    </w:tblStylePr>
    <w:tblStylePr w:type="firstCol">
      <w:rPr>
        <w:color w:val="FFFFFF"/>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B0664"/>
    <w:pPr>
      <w:spacing w:after="0" w:line="240" w:lineRule="auto"/>
    </w:pPr>
    <w:rPr>
      <w:color w:val="000000"/>
      <w:rFonts w:ascii="EB Garamond" w:hAnsi="EB Garamond" w:eastAsia="EB Garamond" w:cs="EB Garamond"/>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rPr>
      <w:tblPr/>
      <w:tcPr>
        <w:tcBorders>
          <w:top w:val="single" w:sz="6" w:space="0" w:color="FFFFFF" w:themeColor="background1"/>
        </w:tcBorders>
        <w:shd w:val="clear" w:color="auto" w:fill="2C4C74" w:themeFill="accent1" w:themeFillShade="99"/>
      </w:tcPr>
    </w:tblStylePr>
    <w:tblStylePr w:type="firstCol">
      <w:rPr>
        <w:color w:val="FFFFFF"/>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B0664"/>
    <w:pPr>
      <w:spacing w:after="0" w:line="240" w:lineRule="auto"/>
    </w:pPr>
    <w:rPr>
      <w:color w:val="000000"/>
      <w:rFonts w:ascii="EB Garamond" w:hAnsi="EB Garamond" w:eastAsia="EB Garamond" w:cs="EB Garamond"/>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rPr>
      <w:tblPr/>
      <w:tcPr>
        <w:tcBorders>
          <w:top w:val="single" w:sz="6" w:space="0" w:color="FFFFFF" w:themeColor="background1"/>
        </w:tcBorders>
        <w:shd w:val="clear" w:color="auto" w:fill="772C2A" w:themeFill="accent2" w:themeFillShade="99"/>
      </w:tcPr>
    </w:tblStylePr>
    <w:tblStylePr w:type="firstCol">
      <w:rPr>
        <w:color w:val="FFFFFF"/>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B0664"/>
    <w:pPr>
      <w:spacing w:after="0" w:line="240" w:lineRule="auto"/>
    </w:pPr>
    <w:rPr>
      <w:color w:val="000000"/>
      <w:rFonts w:ascii="EB Garamond" w:hAnsi="EB Garamond" w:eastAsia="EB Garamond" w:cs="EB Garamond"/>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rPr>
      <w:tblPr/>
      <w:tcPr>
        <w:tcBorders>
          <w:top w:val="single" w:sz="6" w:space="0" w:color="FFFFFF" w:themeColor="background1"/>
        </w:tcBorders>
        <w:shd w:val="clear" w:color="auto" w:fill="5E7530" w:themeFill="accent3" w:themeFillShade="99"/>
      </w:tcPr>
    </w:tblStylePr>
    <w:tblStylePr w:type="firstCol">
      <w:rPr>
        <w:color w:val="FFFFFF"/>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rFonts w:ascii="EB Garamond" w:hAnsi="EB Garamond" w:eastAsia="EB Garamond" w:cs="EB Garamond"/>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rPr>
      <w:tblPr/>
      <w:tcPr>
        <w:tcBorders>
          <w:top w:val="single" w:sz="6" w:space="0" w:color="FFFFFF" w:themeColor="background1"/>
        </w:tcBorders>
        <w:shd w:val="clear" w:color="auto" w:fill="4C3B62" w:themeFill="accent4" w:themeFillShade="99"/>
      </w:tcPr>
    </w:tblStylePr>
    <w:tblStylePr w:type="firstCol">
      <w:rPr>
        <w:color w:val="FFFFFF"/>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B0664"/>
    <w:pPr>
      <w:spacing w:after="0" w:line="240" w:lineRule="auto"/>
    </w:pPr>
    <w:rPr>
      <w:color w:val="000000"/>
      <w:rFonts w:ascii="EB Garamond" w:hAnsi="EB Garamond" w:eastAsia="EB Garamond" w:cs="EB Garamond"/>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rPr>
      <w:tblPr/>
      <w:tcPr>
        <w:tcBorders>
          <w:top w:val="single" w:sz="6" w:space="0" w:color="FFFFFF" w:themeColor="background1"/>
        </w:tcBorders>
        <w:shd w:val="clear" w:color="auto" w:fill="276A7C" w:themeFill="accent5" w:themeFillShade="99"/>
      </w:tcPr>
    </w:tblStylePr>
    <w:tblStylePr w:type="firstCol">
      <w:rPr>
        <w:color w:val="FFFFFF"/>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B0664"/>
    <w:pPr>
      <w:spacing w:after="0" w:line="240" w:lineRule="auto"/>
    </w:pPr>
    <w:rPr>
      <w:color w:val="000000"/>
      <w:rFonts w:ascii="EB Garamond" w:hAnsi="EB Garamond" w:eastAsia="EB Garamond" w:cs="EB Garamond"/>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rPr>
      <w:tblPr/>
      <w:tcPr>
        <w:tcBorders>
          <w:top w:val="single" w:sz="6" w:space="0" w:color="FFFFFF" w:themeColor="background1"/>
        </w:tcBorders>
        <w:shd w:val="clear" w:color="auto" w:fill="B65608" w:themeFill="accent6" w:themeFillShade="99"/>
      </w:tcPr>
    </w:tblStylePr>
    <w:tblStylePr w:type="firstCol">
      <w:rPr>
        <w:color w:val="FFFFFF"/>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rPr>
    </w:tblStylePr>
    <w:tblStylePr w:type="nwCell">
      <w:rPr>
        <w:color w:val="000000"/>
      </w:rPr>
    </w:tblStylePr>
  </w:style>
  <w:style w:type="table" w:styleId="ColorfulList">
    <w:name w:val="Colorful List"/>
    <w:basedOn w:val="TableNormal"/>
    <w:uiPriority w:val="72"/>
    <w:rsid w:val="00CB0664"/>
    <w:pPr>
      <w:spacing w:after="0" w:line="240" w:lineRule="auto"/>
    </w:pPr>
    <w:rPr>
      <w:color w:val="000000"/>
      <w:rFonts w:ascii="EB Garamond" w:hAnsi="EB Garamond" w:eastAsia="EB Garamond" w:cs="EB Garamond"/>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rPr>
      <w:tblPr/>
      <w:tcPr>
        <w:tcBorders>
          <w:bottom w:val="single" w:sz="12" w:space="0" w:color="FFFFFF" w:themeColor="background1"/>
        </w:tcBorders>
        <w:shd w:val="clear" w:color="auto" w:fill="9E3A38"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rFonts w:ascii="EB Garamond" w:hAnsi="EB Garamond" w:eastAsia="EB Garamond" w:cs="EB Garamond"/>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rPr>
      <w:tblPr/>
      <w:tcPr>
        <w:tcBorders>
          <w:bottom w:val="single" w:sz="12" w:space="0" w:color="FFFFFF" w:themeColor="background1"/>
        </w:tcBorders>
        <w:shd w:val="clear" w:color="auto" w:fill="9E3A38"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rFonts w:ascii="EB Garamond" w:hAnsi="EB Garamond" w:eastAsia="EB Garamond" w:cs="EB Garamond"/>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rPr>
      <w:tblPr/>
      <w:tcPr>
        <w:tcBorders>
          <w:bottom w:val="single" w:sz="12" w:space="0" w:color="FFFFFF" w:themeColor="background1"/>
        </w:tcBorders>
        <w:shd w:val="clear" w:color="auto" w:fill="9E3A38"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rFonts w:ascii="EB Garamond" w:hAnsi="EB Garamond" w:eastAsia="EB Garamond" w:cs="EB Garamond"/>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rPr>
      <w:tblPr/>
      <w:tcPr>
        <w:tcBorders>
          <w:bottom w:val="single" w:sz="12" w:space="0" w:color="FFFFFF" w:themeColor="background1"/>
        </w:tcBorders>
        <w:shd w:val="clear" w:color="auto" w:fill="664E82" w:themeFill="accent4" w:themeFillShade="CC"/>
      </w:tcPr>
    </w:tblStylePr>
    <w:tblStylePr w:type="lastRow">
      <w:rPr>
        <w:b/>
        <w:bCs/>
        <w:color w:val="664E82"/>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rFonts w:ascii="EB Garamond" w:hAnsi="EB Garamond" w:eastAsia="EB Garamond" w:cs="EB Garamond"/>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rPr>
      <w:tblPr/>
      <w:tcPr>
        <w:tcBorders>
          <w:bottom w:val="single" w:sz="12" w:space="0" w:color="FFFFFF" w:themeColor="background1"/>
        </w:tcBorders>
        <w:shd w:val="clear" w:color="auto" w:fill="7E9C40" w:themeFill="accent3" w:themeFillShade="CC"/>
      </w:tcPr>
    </w:tblStylePr>
    <w:tblStylePr w:type="lastRow">
      <w:rPr>
        <w:b/>
        <w:bCs/>
        <w:color w:val="7E9C40"/>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rFonts w:ascii="EB Garamond" w:hAnsi="EB Garamond" w:eastAsia="EB Garamond" w:cs="EB Garamond"/>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rPr>
      <w:tblPr/>
      <w:tcPr>
        <w:tcBorders>
          <w:bottom w:val="single" w:sz="12" w:space="0" w:color="FFFFFF" w:themeColor="background1"/>
        </w:tcBorders>
        <w:shd w:val="clear" w:color="auto" w:fill="F2730A" w:themeFill="accent6" w:themeFillShade="CC"/>
      </w:tcPr>
    </w:tblStylePr>
    <w:tblStylePr w:type="lastRow">
      <w:rPr>
        <w:b/>
        <w:bCs/>
        <w:color w:val="F2730A"/>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rFonts w:ascii="EB Garamond" w:hAnsi="EB Garamond" w:eastAsia="EB Garamond" w:cs="EB Garamond"/>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rPr>
      <w:tblPr/>
      <w:tcPr>
        <w:tcBorders>
          <w:bottom w:val="single" w:sz="12" w:space="0" w:color="FFFFFF" w:themeColor="background1"/>
        </w:tcBorders>
        <w:shd w:val="clear" w:color="auto" w:fill="348DA5" w:themeFill="accent5" w:themeFillShade="CC"/>
      </w:tcPr>
    </w:tblStylePr>
    <w:tblStylePr w:type="lastRow">
      <w:rPr>
        <w:b/>
        <w:bCs/>
        <w:color w:val="348DA5"/>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rFonts w:ascii="EB Garamond" w:hAnsi="EB Garamond" w:eastAsia="EB Garamond" w:cs="EB Garamond"/>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rPr>
      <w:tblPr/>
      <w:tcPr>
        <w:shd w:val="clear" w:color="auto" w:fill="999999" w:themeFill="text1" w:themeFillTint="66"/>
      </w:tcPr>
    </w:tblStylePr>
    <w:tblStylePr w:type="firstCol">
      <w:rPr>
        <w:color w:val="FFFFFF"/>
      </w:rPr>
      <w:tblPr/>
      <w:tcPr>
        <w:shd w:val="clear" w:color="auto" w:fill="000000" w:themeFill="text1" w:themeFillShade="BF"/>
      </w:tcPr>
    </w:tblStylePr>
    <w:tblStylePr w:type="lastCol">
      <w:rPr>
        <w:color w:val="FFFFFF"/>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rFonts w:ascii="EB Garamond" w:hAnsi="EB Garamond" w:eastAsia="EB Garamond" w:cs="EB Garamond"/>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rPr>
      <w:tblPr/>
      <w:tcPr>
        <w:shd w:val="clear" w:color="auto" w:fill="B8CCE4" w:themeFill="accent1" w:themeFillTint="66"/>
      </w:tcPr>
    </w:tblStylePr>
    <w:tblStylePr w:type="firstCol">
      <w:rPr>
        <w:color w:val="FFFFFF"/>
      </w:rPr>
      <w:tblPr/>
      <w:tcPr>
        <w:shd w:val="clear" w:color="auto" w:fill="365F91" w:themeFill="accent1" w:themeFillShade="BF"/>
      </w:tcPr>
    </w:tblStylePr>
    <w:tblStylePr w:type="lastCol">
      <w:rPr>
        <w:color w:val="FFFFFF"/>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rFonts w:ascii="EB Garamond" w:hAnsi="EB Garamond" w:eastAsia="EB Garamond" w:cs="EB Garamond"/>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rPr>
      <w:tblPr/>
      <w:tcPr>
        <w:shd w:val="clear" w:color="auto" w:fill="E5B8B7" w:themeFill="accent2" w:themeFillTint="66"/>
      </w:tcPr>
    </w:tblStylePr>
    <w:tblStylePr w:type="firstCol">
      <w:rPr>
        <w:color w:val="FFFFFF"/>
      </w:rPr>
      <w:tblPr/>
      <w:tcPr>
        <w:shd w:val="clear" w:color="auto" w:fill="943634" w:themeFill="accent2" w:themeFillShade="BF"/>
      </w:tcPr>
    </w:tblStylePr>
    <w:tblStylePr w:type="lastCol">
      <w:rPr>
        <w:color w:val="FFFFFF"/>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rFonts w:ascii="EB Garamond" w:hAnsi="EB Garamond" w:eastAsia="EB Garamond" w:cs="EB Garamond"/>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rPr>
      <w:tblPr/>
      <w:tcPr>
        <w:shd w:val="clear" w:color="auto" w:fill="D6E3BC" w:themeFill="accent3" w:themeFillTint="66"/>
      </w:tcPr>
    </w:tblStylePr>
    <w:tblStylePr w:type="firstCol">
      <w:rPr>
        <w:color w:val="FFFFFF"/>
      </w:rPr>
      <w:tblPr/>
      <w:tcPr>
        <w:shd w:val="clear" w:color="auto" w:fill="76923C" w:themeFill="accent3" w:themeFillShade="BF"/>
      </w:tcPr>
    </w:tblStylePr>
    <w:tblStylePr w:type="lastCol">
      <w:rPr>
        <w:color w:val="FFFFFF"/>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rFonts w:ascii="EB Garamond" w:hAnsi="EB Garamond" w:eastAsia="EB Garamond" w:cs="EB Garamond"/>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rPr>
      <w:tblPr/>
      <w:tcPr>
        <w:shd w:val="clear" w:color="auto" w:fill="CCC0D9" w:themeFill="accent4" w:themeFillTint="66"/>
      </w:tcPr>
    </w:tblStylePr>
    <w:tblStylePr w:type="firstCol">
      <w:rPr>
        <w:color w:val="FFFFFF"/>
      </w:rPr>
      <w:tblPr/>
      <w:tcPr>
        <w:shd w:val="clear" w:color="auto" w:fill="5F497A" w:themeFill="accent4" w:themeFillShade="BF"/>
      </w:tcPr>
    </w:tblStylePr>
    <w:tblStylePr w:type="lastCol">
      <w:rPr>
        <w:color w:val="FFFFFF"/>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rFonts w:ascii="EB Garamond" w:hAnsi="EB Garamond" w:eastAsia="EB Garamond" w:cs="EB Garamond"/>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rPr>
      <w:tblPr/>
      <w:tcPr>
        <w:shd w:val="clear" w:color="auto" w:fill="B6DDE8" w:themeFill="accent5" w:themeFillTint="66"/>
      </w:tcPr>
    </w:tblStylePr>
    <w:tblStylePr w:type="firstCol">
      <w:rPr>
        <w:color w:val="FFFFFF"/>
      </w:rPr>
      <w:tblPr/>
      <w:tcPr>
        <w:shd w:val="clear" w:color="auto" w:fill="31849B" w:themeFill="accent5" w:themeFillShade="BF"/>
      </w:tcPr>
    </w:tblStylePr>
    <w:tblStylePr w:type="lastCol">
      <w:rPr>
        <w:color w:val="FFFFFF"/>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rFonts w:ascii="EB Garamond" w:hAnsi="EB Garamond" w:eastAsia="EB Garamond" w:cs="EB Garamond"/>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rPr>
      <w:tblPr/>
      <w:tcPr>
        <w:shd w:val="clear" w:color="auto" w:fill="FBD4B4" w:themeFill="accent6" w:themeFillTint="66"/>
      </w:tcPr>
    </w:tblStylePr>
    <w:tblStylePr w:type="firstCol">
      <w:rPr>
        <w:color w:val="FFFFFF"/>
      </w:rPr>
      <w:tblPr/>
      <w:tcPr>
        <w:shd w:val="clear" w:color="auto" w:fill="E36C0A" w:themeFill="accent6" w:themeFillShade="BF"/>
      </w:tcPr>
    </w:tblStylePr>
    <w:tblStylePr w:type="lastCol">
      <w:rPr>
        <w:color w:val="FFFFFF"/>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EB Garamond" w:hAnsi="EB Garamond" w:eastAsia="EB Garamond" w:cs="EB Garamond"/>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EB Garamond" w:hAnsi="EB Garamond" w:eastAsia="EB Garamond" w:cs="EB Garamond"/>
      <w:b/>
      <w:bCs/>
      <w:color w:val="365F91"/>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EB Garamond" w:hAnsi="EB Garamond" w:eastAsia="EB Garamond" w:cs="EB Garamond"/>
      <w:b/>
      <w:bCs/>
      <w:color w:val="4F81BD"/>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EB Garamond" w:hAnsi="EB Garamond" w:eastAsia="EB Garamond" w:cs="EB Garamond"/>
      <w:b/>
      <w:bCs/>
      <w:color w:val="4F81BD"/>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EB Garamond" w:hAnsi="EB Garamond" w:eastAsia="EB Garamond" w:cs="EB Garamond"/>
      <w:b/>
      <w:bCs/>
      <w:i/>
      <w:iCs/>
      <w:color w:val="4F81BD"/>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EB Garamond" w:hAnsi="EB Garamond" w:eastAsia="EB Garamond" w:cs="EB Garamond"/>
      <w:color w:val="243F60"/>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EB Garamond" w:hAnsi="EB Garamond" w:eastAsia="EB Garamond" w:cs="EB Garamond"/>
      <w:i/>
      <w:iCs/>
      <w:color w:val="243F60"/>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EB Garamond" w:hAnsi="EB Garamond" w:eastAsia="EB Garamond" w:cs="EB Garamond"/>
      <w:i/>
      <w:iCs/>
      <w:color w:val="404040"/>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EB Garamond" w:hAnsi="EB Garamond" w:eastAsia="EB Garamond" w:cs="EB Garamond"/>
      <w:color w:val="4F81BD"/>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EB Garamond" w:hAnsi="EB Garamond" w:eastAsia="EB Garamond" w:cs="EB Garamond"/>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EB Garamond" w:hAnsi="EB Garamond" w:eastAsia="EB Garamond" w:cs="EB Garamond"/>
      <w:b/>
      <w:bCs/>
      <w:color w:val="365F91"/>
      <w:sz w:val="28"/>
      <w:szCs w:val="28"/>
    </w:rPr>
  </w:style>
  <w:style w:type="character" w:customStyle="1" w:styleId="Heading2Char">
    <w:name w:val="Heading 2 Char"/>
    <w:basedOn w:val="DefaultParagraphFont"/>
    <w:link w:val="Heading2"/>
    <w:uiPriority w:val="9"/>
    <w:rsid w:val="00FC693F"/>
    <w:rPr>
      <w:rFonts w:ascii="EB Garamond" w:hAnsi="EB Garamond" w:eastAsia="EB Garamond" w:cs="EB Garamond"/>
      <w:b/>
      <w:bCs/>
      <w:color w:val="4F81BD"/>
      <w:sz w:val="26"/>
      <w:szCs w:val="26"/>
    </w:rPr>
  </w:style>
  <w:style w:type="character" w:customStyle="1" w:styleId="Heading3Char">
    <w:name w:val="Heading 3 Char"/>
    <w:basedOn w:val="DefaultParagraphFont"/>
    <w:link w:val="Heading3"/>
    <w:uiPriority w:val="9"/>
    <w:rsid w:val="00FC693F"/>
    <w:rPr>
      <w:rFonts w:ascii="EB Garamond" w:hAnsi="EB Garamond" w:eastAsia="EB Garamond" w:cs="EB Garamond"/>
      <w:b/>
      <w:bCs/>
      <w:color w:val="4F81BD"/>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EB Garamond" w:hAnsi="EB Garamond" w:eastAsia="EB Garamond" w:cs="EB Garamond"/>
      <w:color w:val="17365D"/>
      <w:spacing w:val="5"/>
      <w:kern w:val="28"/>
      <w:sz w:val="52"/>
      <w:szCs w:val="52"/>
    </w:rPr>
  </w:style>
  <w:style w:type="character" w:customStyle="1" w:styleId="TitleChar">
    <w:name w:val="Title Char"/>
    <w:basedOn w:val="DefaultParagraphFont"/>
    <w:link w:val="Title"/>
    <w:uiPriority w:val="10"/>
    <w:rsid w:val="00FC693F"/>
    <w:rPr>
      <w:rFonts w:ascii="EB Garamond" w:hAnsi="EB Garamond" w:eastAsia="EB Garamond" w:cs="EB Garamond"/>
      <w:color w:val="17365D"/>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EB Garamond" w:hAnsi="EB Garamond" w:eastAsia="EB Garamond" w:cs="EB Garamond"/>
      <w:i/>
      <w:iCs/>
      <w:color w:val="4F81BD"/>
      <w:spacing w:val="15"/>
      <w:sz w:val="24"/>
      <w:szCs w:val="24"/>
    </w:rPr>
  </w:style>
  <w:style w:type="character" w:customStyle="1" w:styleId="SubtitleChar">
    <w:name w:val="Subtitle Char"/>
    <w:basedOn w:val="DefaultParagraphFont"/>
    <w:link w:val="Subtitle"/>
    <w:uiPriority w:val="11"/>
    <w:rsid w:val="00FC693F"/>
    <w:rPr>
      <w:rFonts w:ascii="EB Garamond" w:hAnsi="EB Garamond" w:eastAsia="EB Garamond" w:cs="EB Garamond"/>
      <w:i/>
      <w:iCs/>
      <w:color w:val="4F81BD"/>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EB Garamond" w:hAnsi="EB Garamond" w:eastAsia="EB Garamond" w:cs="EB Garamond"/>
      <w:sz w:val="20"/>
      <w:szCs w:val="20"/>
    </w:rPr>
  </w:style>
  <w:style w:type="character" w:customStyle="1" w:styleId="MacroTextChar">
    <w:name w:val="Macro Text Char"/>
    <w:basedOn w:val="DefaultParagraphFont"/>
    <w:link w:val="MacroText"/>
    <w:uiPriority w:val="99"/>
    <w:rsid w:val="0029639D"/>
    <w:rPr>
      <w:rFonts w:ascii="EB Garamond" w:hAnsi="EB Garamond" w:eastAsia="EB Garamond" w:cs="EB Garamond"/>
      <w:sz w:val="20"/>
      <w:szCs w:val="20"/>
    </w:rPr>
  </w:style>
  <w:style w:type="paragraph" w:styleId="Quote">
    <w:name w:val="Quote"/>
    <w:basedOn w:val="Normal"/>
    <w:next w:val="Normal"/>
    <w:link w:val="QuoteChar"/>
    <w:uiPriority w:val="29"/>
    <w:qFormat/>
    <w:rsid w:val="00FC693F"/>
    <w:rPr>
      <w:i/>
      <w:iCs/>
      <w:color w:val="000000"/>
    </w:rPr>
  </w:style>
  <w:style w:type="character" w:customStyle="1" w:styleId="QuoteChar">
    <w:name w:val="Quote Char"/>
    <w:basedOn w:val="DefaultParagraphFont"/>
    <w:link w:val="Quote"/>
    <w:uiPriority w:val="29"/>
    <w:rsid w:val="00FC693F"/>
    <w:rPr>
      <w:i/>
      <w:iCs/>
      <w:color w:val="000000"/>
    </w:rPr>
  </w:style>
  <w:style w:type="character" w:customStyle="1" w:styleId="Heading4Char">
    <w:name w:val="Heading 4 Char"/>
    <w:basedOn w:val="DefaultParagraphFont"/>
    <w:link w:val="Heading4"/>
    <w:uiPriority w:val="9"/>
    <w:semiHidden/>
    <w:rsid w:val="00FC693F"/>
    <w:rPr>
      <w:rFonts w:ascii="EB Garamond" w:hAnsi="EB Garamond" w:eastAsia="EB Garamond" w:cs="EB Garamond"/>
      <w:b/>
      <w:bCs/>
      <w:i/>
      <w:iCs/>
      <w:color w:val="4F81BD"/>
    </w:rPr>
  </w:style>
  <w:style w:type="character" w:customStyle="1" w:styleId="Heading5Char">
    <w:name w:val="Heading 5 Char"/>
    <w:basedOn w:val="DefaultParagraphFont"/>
    <w:link w:val="Heading5"/>
    <w:uiPriority w:val="9"/>
    <w:semiHidden/>
    <w:rsid w:val="00FC693F"/>
    <w:rPr>
      <w:rFonts w:ascii="EB Garamond" w:hAnsi="EB Garamond" w:eastAsia="EB Garamond" w:cs="EB Garamond"/>
      <w:color w:val="243F60"/>
    </w:rPr>
  </w:style>
  <w:style w:type="character" w:customStyle="1" w:styleId="Heading6Char">
    <w:name w:val="Heading 6 Char"/>
    <w:basedOn w:val="DefaultParagraphFont"/>
    <w:link w:val="Heading6"/>
    <w:uiPriority w:val="9"/>
    <w:semiHidden/>
    <w:rsid w:val="00FC693F"/>
    <w:rPr>
      <w:rFonts w:ascii="EB Garamond" w:hAnsi="EB Garamond" w:eastAsia="EB Garamond" w:cs="EB Garamond"/>
      <w:i/>
      <w:iCs/>
      <w:color w:val="243F60"/>
    </w:rPr>
  </w:style>
  <w:style w:type="character" w:customStyle="1" w:styleId="Heading7Char">
    <w:name w:val="Heading 7 Char"/>
    <w:basedOn w:val="DefaultParagraphFont"/>
    <w:link w:val="Heading7"/>
    <w:uiPriority w:val="9"/>
    <w:semiHidden/>
    <w:rsid w:val="00FC693F"/>
    <w:rPr>
      <w:rFonts w:ascii="EB Garamond" w:hAnsi="EB Garamond" w:eastAsia="EB Garamond" w:cs="EB Garamond"/>
      <w:i/>
      <w:iCs/>
      <w:color w:val="404040"/>
    </w:rPr>
  </w:style>
  <w:style w:type="character" w:customStyle="1" w:styleId="Heading8Char">
    <w:name w:val="Heading 8 Char"/>
    <w:basedOn w:val="DefaultParagraphFont"/>
    <w:link w:val="Heading8"/>
    <w:uiPriority w:val="9"/>
    <w:semiHidden/>
    <w:rsid w:val="00FC693F"/>
    <w:rPr>
      <w:rFonts w:ascii="EB Garamond" w:hAnsi="EB Garamond" w:eastAsia="EB Garamond" w:cs="EB Garamond"/>
      <w:color w:val="4F81BD"/>
      <w:sz w:val="20"/>
      <w:szCs w:val="20"/>
    </w:rPr>
  </w:style>
  <w:style w:type="character" w:customStyle="1" w:styleId="Heading9Char">
    <w:name w:val="Heading 9 Char"/>
    <w:basedOn w:val="DefaultParagraphFont"/>
    <w:link w:val="Heading9"/>
    <w:uiPriority w:val="9"/>
    <w:semiHidden/>
    <w:rsid w:val="00FC693F"/>
    <w:rPr>
      <w:rFonts w:ascii="EB Garamond" w:hAnsi="EB Garamond" w:eastAsia="EB Garamond" w:cs="EB Garamond"/>
      <w:i/>
      <w:iCs/>
      <w:color w:val="404040"/>
      <w:sz w:val="20"/>
      <w:szCs w:val="20"/>
    </w:rPr>
  </w:style>
  <w:style w:type="paragraph" w:styleId="Caption">
    <w:name w:val="caption"/>
    <w:basedOn w:val="Normal"/>
    <w:next w:val="Normal"/>
    <w:uiPriority w:val="35"/>
    <w:semiHidden/>
    <w:unhideWhenUsed/>
    <w:qFormat/>
    <w:rsid w:val="00FC693F"/>
    <w:pPr>
      <w:spacing w:line="240" w:lineRule="auto"/>
    </w:pPr>
    <w:rPr>
      <w:b/>
      <w:bCs/>
      <w:color w:val="4F81BD"/>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FC693F"/>
    <w:rPr>
      <w:b/>
      <w:bCs/>
      <w:i/>
      <w:iCs/>
      <w:color w:val="4F81BD"/>
    </w:rPr>
  </w:style>
  <w:style w:type="character" w:styleId="SubtleEmphasis">
    <w:name w:val="Subtle Emphasis"/>
    <w:basedOn w:val="DefaultParagraphFont"/>
    <w:uiPriority w:val="19"/>
    <w:qFormat/>
    <w:rsid w:val="00FC693F"/>
    <w:rPr>
      <w:i/>
      <w:iCs/>
      <w:color w:val="808080"/>
    </w:rPr>
  </w:style>
  <w:style w:type="character" w:styleId="IntenseEmphasis">
    <w:name w:val="Intense Emphasis"/>
    <w:basedOn w:val="DefaultParagraphFont"/>
    <w:uiPriority w:val="21"/>
    <w:qFormat/>
    <w:rsid w:val="00FC693F"/>
    <w:rPr>
      <w:b/>
      <w:bCs/>
      <w:i/>
      <w:iCs/>
      <w:color w:val="4F81BD"/>
    </w:rPr>
  </w:style>
  <w:style w:type="character" w:styleId="SubtleReference">
    <w:name w:val="Subtle Reference"/>
    <w:basedOn w:val="DefaultParagraphFont"/>
    <w:uiPriority w:val="31"/>
    <w:qFormat/>
    <w:rsid w:val="00FC693F"/>
    <w:rPr>
      <w:smallCaps/>
      <w:color w:val="C0504D"/>
      <w:u w:val="single"/>
    </w:rPr>
  </w:style>
  <w:style w:type="character" w:styleId="IntenseReference">
    <w:name w:val="Intense Reference"/>
    <w:basedOn w:val="DefaultParagraphFont"/>
    <w:uiPriority w:val="32"/>
    <w:qFormat/>
    <w:rsid w:val="00FC693F"/>
    <w:rPr>
      <w:b/>
      <w:bCs/>
      <w:smallCaps/>
      <w:color w:val="C0504D"/>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EB Garamond" w:hAnsi="EB Garamond" w:eastAsia="EB Garamond" w:cs="EB Garamond"/>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EB Garamond" w:hAnsi="EB Garamond" w:eastAsia="EB Garamond" w:cs="EB Garamond"/>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EB Garamond" w:hAnsi="EB Garamond" w:eastAsia="EB Garamond" w:cs="EB Garamond"/>
        <w:b/>
        <w:bCs/>
      </w:rPr>
    </w:tblStylePr>
    <w:tblStylePr w:type="lastCol">
      <w:rPr>
        <w:rFonts w:ascii="EB Garamond" w:hAnsi="EB Garamond" w:eastAsia="EB Garamond" w:cs="EB Garamond"/>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EB Garamond" w:hAnsi="EB Garamond" w:eastAsia="EB Garamond" w:cs="EB Garamond"/>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EB Garamond" w:hAnsi="EB Garamond" w:eastAsia="EB Garamond" w:cs="EB Garamond"/>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EB Garamond" w:hAnsi="EB Garamond" w:eastAsia="EB Garamond" w:cs="EB Garamond"/>
        <w:b/>
        <w:bCs/>
      </w:rPr>
    </w:tblStylePr>
    <w:tblStylePr w:type="lastCol">
      <w:rPr>
        <w:rFonts w:ascii="EB Garamond" w:hAnsi="EB Garamond" w:eastAsia="EB Garamond" w:cs="EB Garamond"/>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EB Garamond" w:hAnsi="EB Garamond" w:eastAsia="EB Garamond" w:cs="EB Garamond"/>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EB Garamond" w:hAnsi="EB Garamond" w:eastAsia="EB Garamond" w:cs="EB Garamond"/>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EB Garamond" w:hAnsi="EB Garamond" w:eastAsia="EB Garamond" w:cs="EB Garamond"/>
        <w:b/>
        <w:bCs/>
      </w:rPr>
    </w:tblStylePr>
    <w:tblStylePr w:type="lastCol">
      <w:rPr>
        <w:rFonts w:ascii="EB Garamond" w:hAnsi="EB Garamond" w:eastAsia="EB Garamond" w:cs="EB Garamond"/>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EB Garamond" w:hAnsi="EB Garamond" w:eastAsia="EB Garamond" w:cs="EB Garamond"/>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EB Garamond" w:hAnsi="EB Garamond" w:eastAsia="EB Garamond" w:cs="EB Garamond"/>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EB Garamond" w:hAnsi="EB Garamond" w:eastAsia="EB Garamond" w:cs="EB Garamond"/>
        <w:b/>
        <w:bCs/>
      </w:rPr>
    </w:tblStylePr>
    <w:tblStylePr w:type="lastCol">
      <w:rPr>
        <w:rFonts w:ascii="EB Garamond" w:hAnsi="EB Garamond" w:eastAsia="EB Garamond" w:cs="EB Garamond"/>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EB Garamond" w:hAnsi="EB Garamond" w:eastAsia="EB Garamond" w:cs="EB Garamond"/>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EB Garamond" w:hAnsi="EB Garamond" w:eastAsia="EB Garamond" w:cs="EB Garamond"/>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EB Garamond" w:hAnsi="EB Garamond" w:eastAsia="EB Garamond" w:cs="EB Garamond"/>
        <w:b/>
        <w:bCs/>
      </w:rPr>
    </w:tblStylePr>
    <w:tblStylePr w:type="lastCol">
      <w:rPr>
        <w:rFonts w:ascii="EB Garamond" w:hAnsi="EB Garamond" w:eastAsia="EB Garamond" w:cs="EB Garamond"/>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EB Garamond" w:hAnsi="EB Garamond" w:eastAsia="EB Garamond" w:cs="EB Garamond"/>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EB Garamond" w:hAnsi="EB Garamond" w:eastAsia="EB Garamond" w:cs="EB Garamond"/>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EB Garamond" w:hAnsi="EB Garamond" w:eastAsia="EB Garamond" w:cs="EB Garamond"/>
        <w:b/>
        <w:bCs/>
      </w:rPr>
    </w:tblStylePr>
    <w:tblStylePr w:type="lastCol">
      <w:rPr>
        <w:rFonts w:ascii="EB Garamond" w:hAnsi="EB Garamond" w:eastAsia="EB Garamond" w:cs="EB Garamond"/>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EB Garamond" w:hAnsi="EB Garamond" w:eastAsia="EB Garamond" w:cs="EB Garamond"/>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EB Garamond" w:hAnsi="EB Garamond" w:eastAsia="EB Garamond" w:cs="EB Garamond"/>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EB Garamond" w:hAnsi="EB Garamond" w:eastAsia="EB Garamond" w:cs="EB Garamond"/>
        <w:b/>
        <w:bCs/>
      </w:rPr>
    </w:tblStylePr>
    <w:tblStylePr w:type="lastCol">
      <w:rPr>
        <w:rFonts w:ascii="EB Garamond" w:hAnsi="EB Garamond" w:eastAsia="EB Garamond" w:cs="EB Garamond"/>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EB Garamond" w:hAnsi="EB Garamond" w:eastAsia="EB Garamond" w:cs="EB Garamond"/>
      </w:rPr>
      <w:tblPr/>
      <w:tcPr>
        <w:tcBorders>
          <w:top w:val="nil"/>
          <w:bottom w:val="single" w:sz="8" w:space="0" w:color="000000" w:themeColor="text1"/>
        </w:tcBorders>
      </w:tcPr>
    </w:tblStylePr>
    <w:tblStylePr w:type="lastRow">
      <w:rPr>
        <w:b/>
        <w:bCs/>
        <w:color w:val="1F497D"/>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EB Garamond" w:hAnsi="EB Garamond" w:eastAsia="EB Garamond" w:cs="EB Garamond"/>
      </w:rPr>
      <w:tblPr/>
      <w:tcPr>
        <w:tcBorders>
          <w:top w:val="nil"/>
          <w:bottom w:val="single" w:sz="8" w:space="0" w:color="4F81BD" w:themeColor="accent1"/>
        </w:tcBorders>
      </w:tcPr>
    </w:tblStylePr>
    <w:tblStylePr w:type="lastRow">
      <w:rPr>
        <w:b/>
        <w:bCs/>
        <w:color w:val="1F497D"/>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EB Garamond" w:hAnsi="EB Garamond" w:eastAsia="EB Garamond" w:cs="EB Garamond"/>
      </w:rPr>
      <w:tblPr/>
      <w:tcPr>
        <w:tcBorders>
          <w:top w:val="nil"/>
          <w:bottom w:val="single" w:sz="8" w:space="0" w:color="C0504D" w:themeColor="accent2"/>
        </w:tcBorders>
      </w:tcPr>
    </w:tblStylePr>
    <w:tblStylePr w:type="lastRow">
      <w:rPr>
        <w:b/>
        <w:bCs/>
        <w:color w:val="1F497D"/>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EB Garamond" w:hAnsi="EB Garamond" w:eastAsia="EB Garamond" w:cs="EB Garamond"/>
      </w:rPr>
      <w:tblPr/>
      <w:tcPr>
        <w:tcBorders>
          <w:top w:val="nil"/>
          <w:bottom w:val="single" w:sz="8" w:space="0" w:color="9BBB59" w:themeColor="accent3"/>
        </w:tcBorders>
      </w:tcPr>
    </w:tblStylePr>
    <w:tblStylePr w:type="lastRow">
      <w:rPr>
        <w:b/>
        <w:bCs/>
        <w:color w:val="1F497D"/>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EB Garamond" w:hAnsi="EB Garamond" w:eastAsia="EB Garamond" w:cs="EB Garamond"/>
      </w:rPr>
      <w:tblPr/>
      <w:tcPr>
        <w:tcBorders>
          <w:top w:val="nil"/>
          <w:bottom w:val="single" w:sz="8" w:space="0" w:color="8064A2" w:themeColor="accent4"/>
        </w:tcBorders>
      </w:tcPr>
    </w:tblStylePr>
    <w:tblStylePr w:type="lastRow">
      <w:rPr>
        <w:b/>
        <w:bCs/>
        <w:color w:val="1F497D"/>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EB Garamond" w:hAnsi="EB Garamond" w:eastAsia="EB Garamond" w:cs="EB Garamond"/>
      </w:rPr>
      <w:tblPr/>
      <w:tcPr>
        <w:tcBorders>
          <w:top w:val="nil"/>
          <w:bottom w:val="single" w:sz="8" w:space="0" w:color="4BACC6" w:themeColor="accent5"/>
        </w:tcBorders>
      </w:tcPr>
    </w:tblStylePr>
    <w:tblStylePr w:type="lastRow">
      <w:rPr>
        <w:b/>
        <w:bCs/>
        <w:color w:val="1F497D"/>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EB Garamond" w:hAnsi="EB Garamond" w:eastAsia="EB Garamond" w:cs="EB Garamond"/>
      </w:rPr>
      <w:tblPr/>
      <w:tcPr>
        <w:tcBorders>
          <w:top w:val="nil"/>
          <w:bottom w:val="single" w:sz="8" w:space="0" w:color="F79646" w:themeColor="accent6"/>
        </w:tcBorders>
      </w:tcPr>
    </w:tblStylePr>
    <w:tblStylePr w:type="lastRow">
      <w:rPr>
        <w:b/>
        <w:bCs/>
        <w:color w:val="1F497D"/>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rPr>
      <w:tblPr/>
      <w:tcPr>
        <w:shd w:val="clear" w:color="auto" w:fill="E6E6E6" w:themeFill="text1" w:themeFillTint="19"/>
      </w:tcPr>
    </w:tblStylePr>
    <w:tblStylePr w:type="lastRow">
      <w:rPr>
        <w:b/>
        <w:bCs/>
        <w:color w:val="000000"/>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rPr>
      <w:tblPr/>
      <w:tcPr>
        <w:shd w:val="clear" w:color="auto" w:fill="EDF2F8" w:themeFill="accent1" w:themeFillTint="19"/>
      </w:tcPr>
    </w:tblStylePr>
    <w:tblStylePr w:type="lastRow">
      <w:rPr>
        <w:b/>
        <w:bCs/>
        <w:color w:val="000000"/>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rPr>
      <w:tblPr/>
      <w:tcPr>
        <w:shd w:val="clear" w:color="auto" w:fill="F8EDED" w:themeFill="accent2" w:themeFillTint="19"/>
      </w:tcPr>
    </w:tblStylePr>
    <w:tblStylePr w:type="lastRow">
      <w:rPr>
        <w:b/>
        <w:bCs/>
        <w:color w:val="000000"/>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rPr>
      <w:tblPr/>
      <w:tcPr>
        <w:shd w:val="clear" w:color="auto" w:fill="F5F8EE" w:themeFill="accent3" w:themeFillTint="19"/>
      </w:tcPr>
    </w:tblStylePr>
    <w:tblStylePr w:type="lastRow">
      <w:rPr>
        <w:b/>
        <w:bCs/>
        <w:color w:val="000000"/>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rPr>
      <w:tblPr/>
      <w:tcPr>
        <w:shd w:val="clear" w:color="auto" w:fill="F2EFF6" w:themeFill="accent4" w:themeFillTint="19"/>
      </w:tcPr>
    </w:tblStylePr>
    <w:tblStylePr w:type="lastRow">
      <w:rPr>
        <w:b/>
        <w:bCs/>
        <w:color w:val="000000"/>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rPr>
      <w:tblPr/>
      <w:tcPr>
        <w:shd w:val="clear" w:color="auto" w:fill="EDF6F9" w:themeFill="accent5" w:themeFillTint="19"/>
      </w:tcPr>
    </w:tblStylePr>
    <w:tblStylePr w:type="lastRow">
      <w:rPr>
        <w:b/>
        <w:bCs/>
        <w:color w:val="000000"/>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rPr>
      <w:tblPr/>
      <w:tcPr>
        <w:shd w:val="clear" w:color="auto" w:fill="FEF4EC" w:themeFill="accent6" w:themeFillTint="19"/>
      </w:tcPr>
    </w:tblStylePr>
    <w:tblStylePr w:type="lastRow">
      <w:rPr>
        <w:b/>
        <w:bCs/>
        <w:color w:val="000000"/>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rPr>
      <w:tblPr/>
      <w:tcPr>
        <w:tcBorders>
          <w:top w:val="single" w:sz="6" w:space="0" w:color="FFFFFF" w:themeColor="background1"/>
        </w:tcBorders>
        <w:shd w:val="clear" w:color="auto" w:fill="000000" w:themeFill="text1" w:themeFillShade="99"/>
      </w:tcPr>
    </w:tblStylePr>
    <w:tblStylePr w:type="firstCol">
      <w:rPr>
        <w:color w:val="FFFFFF"/>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B0664"/>
    <w:pPr>
      <w:spacing w:after="0" w:line="240" w:lineRule="auto"/>
    </w:pPr>
    <w:rPr>
      <w:color w:val="000000"/>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rPr>
      <w:tblPr/>
      <w:tcPr>
        <w:tcBorders>
          <w:top w:val="single" w:sz="6" w:space="0" w:color="FFFFFF" w:themeColor="background1"/>
        </w:tcBorders>
        <w:shd w:val="clear" w:color="auto" w:fill="2C4C74" w:themeFill="accent1" w:themeFillShade="99"/>
      </w:tcPr>
    </w:tblStylePr>
    <w:tblStylePr w:type="firstCol">
      <w:rPr>
        <w:color w:val="FFFFFF"/>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B0664"/>
    <w:pPr>
      <w:spacing w:after="0" w:line="240" w:lineRule="auto"/>
    </w:pPr>
    <w:rPr>
      <w:color w:val="000000"/>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rPr>
      <w:tblPr/>
      <w:tcPr>
        <w:tcBorders>
          <w:top w:val="single" w:sz="6" w:space="0" w:color="FFFFFF" w:themeColor="background1"/>
        </w:tcBorders>
        <w:shd w:val="clear" w:color="auto" w:fill="772C2A" w:themeFill="accent2" w:themeFillShade="99"/>
      </w:tcPr>
    </w:tblStylePr>
    <w:tblStylePr w:type="firstCol">
      <w:rPr>
        <w:color w:val="FFFFFF"/>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B0664"/>
    <w:pPr>
      <w:spacing w:after="0" w:line="240" w:lineRule="auto"/>
    </w:pPr>
    <w:rPr>
      <w:color w:val="000000"/>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rPr>
      <w:tblPr/>
      <w:tcPr>
        <w:tcBorders>
          <w:top w:val="single" w:sz="6" w:space="0" w:color="FFFFFF" w:themeColor="background1"/>
        </w:tcBorders>
        <w:shd w:val="clear" w:color="auto" w:fill="5E7530" w:themeFill="accent3" w:themeFillShade="99"/>
      </w:tcPr>
    </w:tblStylePr>
    <w:tblStylePr w:type="firstCol">
      <w:rPr>
        <w:color w:val="FFFFFF"/>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rPr>
      <w:tblPr/>
      <w:tcPr>
        <w:tcBorders>
          <w:top w:val="single" w:sz="6" w:space="0" w:color="FFFFFF" w:themeColor="background1"/>
        </w:tcBorders>
        <w:shd w:val="clear" w:color="auto" w:fill="4C3B62" w:themeFill="accent4" w:themeFillShade="99"/>
      </w:tcPr>
    </w:tblStylePr>
    <w:tblStylePr w:type="firstCol">
      <w:rPr>
        <w:color w:val="FFFFFF"/>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B0664"/>
    <w:pPr>
      <w:spacing w:after="0" w:line="240" w:lineRule="auto"/>
    </w:pPr>
    <w:rPr>
      <w:color w:val="000000"/>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rPr>
      <w:tblPr/>
      <w:tcPr>
        <w:tcBorders>
          <w:top w:val="single" w:sz="6" w:space="0" w:color="FFFFFF" w:themeColor="background1"/>
        </w:tcBorders>
        <w:shd w:val="clear" w:color="auto" w:fill="276A7C" w:themeFill="accent5" w:themeFillShade="99"/>
      </w:tcPr>
    </w:tblStylePr>
    <w:tblStylePr w:type="firstCol">
      <w:rPr>
        <w:color w:val="FFFFFF"/>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B0664"/>
    <w:pPr>
      <w:spacing w:after="0" w:line="240" w:lineRule="auto"/>
    </w:pPr>
    <w:rPr>
      <w:color w:val="000000"/>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rPr>
      <w:tblPr/>
      <w:tcPr>
        <w:tcBorders>
          <w:top w:val="single" w:sz="6" w:space="0" w:color="FFFFFF" w:themeColor="background1"/>
        </w:tcBorders>
        <w:shd w:val="clear" w:color="auto" w:fill="B65608" w:themeFill="accent6" w:themeFillShade="99"/>
      </w:tcPr>
    </w:tblStylePr>
    <w:tblStylePr w:type="firstCol">
      <w:rPr>
        <w:color w:val="FFFFFF"/>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rPr>
    </w:tblStylePr>
    <w:tblStylePr w:type="nwCell">
      <w:rPr>
        <w:color w:val="000000"/>
      </w:rPr>
    </w:tblStylePr>
  </w:style>
  <w:style w:type="table" w:styleId="ColorfulList">
    <w:name w:val="Colorful List"/>
    <w:basedOn w:val="TableNormal"/>
    <w:uiPriority w:val="72"/>
    <w:rsid w:val="00CB0664"/>
    <w:pPr>
      <w:spacing w:after="0" w:line="240" w:lineRule="auto"/>
    </w:pPr>
    <w:rPr>
      <w:color w:val="000000"/>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rPr>
      <w:tblPr/>
      <w:tcPr>
        <w:tcBorders>
          <w:bottom w:val="single" w:sz="12" w:space="0" w:color="FFFFFF" w:themeColor="background1"/>
        </w:tcBorders>
        <w:shd w:val="clear" w:color="auto" w:fill="9E3A38"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rPr>
      <w:tblPr/>
      <w:tcPr>
        <w:tcBorders>
          <w:bottom w:val="single" w:sz="12" w:space="0" w:color="FFFFFF" w:themeColor="background1"/>
        </w:tcBorders>
        <w:shd w:val="clear" w:color="auto" w:fill="9E3A38"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rPr>
      <w:tblPr/>
      <w:tcPr>
        <w:tcBorders>
          <w:bottom w:val="single" w:sz="12" w:space="0" w:color="FFFFFF" w:themeColor="background1"/>
        </w:tcBorders>
        <w:shd w:val="clear" w:color="auto" w:fill="9E3A38"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rPr>
      <w:tblPr/>
      <w:tcPr>
        <w:tcBorders>
          <w:bottom w:val="single" w:sz="12" w:space="0" w:color="FFFFFF" w:themeColor="background1"/>
        </w:tcBorders>
        <w:shd w:val="clear" w:color="auto" w:fill="664E82" w:themeFill="accent4" w:themeFillShade="CC"/>
      </w:tcPr>
    </w:tblStylePr>
    <w:tblStylePr w:type="lastRow">
      <w:rPr>
        <w:b/>
        <w:bCs/>
        <w:color w:val="664E82"/>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rPr>
      <w:tblPr/>
      <w:tcPr>
        <w:tcBorders>
          <w:bottom w:val="single" w:sz="12" w:space="0" w:color="FFFFFF" w:themeColor="background1"/>
        </w:tcBorders>
        <w:shd w:val="clear" w:color="auto" w:fill="7E9C40" w:themeFill="accent3" w:themeFillShade="CC"/>
      </w:tcPr>
    </w:tblStylePr>
    <w:tblStylePr w:type="lastRow">
      <w:rPr>
        <w:b/>
        <w:bCs/>
        <w:color w:val="7E9C40"/>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rPr>
      <w:tblPr/>
      <w:tcPr>
        <w:tcBorders>
          <w:bottom w:val="single" w:sz="12" w:space="0" w:color="FFFFFF" w:themeColor="background1"/>
        </w:tcBorders>
        <w:shd w:val="clear" w:color="auto" w:fill="F2730A" w:themeFill="accent6" w:themeFillShade="CC"/>
      </w:tcPr>
    </w:tblStylePr>
    <w:tblStylePr w:type="lastRow">
      <w:rPr>
        <w:b/>
        <w:bCs/>
        <w:color w:val="F2730A"/>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rPr>
      <w:tblPr/>
      <w:tcPr>
        <w:tcBorders>
          <w:bottom w:val="single" w:sz="12" w:space="0" w:color="FFFFFF" w:themeColor="background1"/>
        </w:tcBorders>
        <w:shd w:val="clear" w:color="auto" w:fill="348DA5" w:themeFill="accent5" w:themeFillShade="CC"/>
      </w:tcPr>
    </w:tblStylePr>
    <w:tblStylePr w:type="lastRow">
      <w:rPr>
        <w:b/>
        <w:bCs/>
        <w:color w:val="348DA5"/>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rPr>
      <w:tblPr/>
      <w:tcPr>
        <w:shd w:val="clear" w:color="auto" w:fill="999999" w:themeFill="text1" w:themeFillTint="66"/>
      </w:tcPr>
    </w:tblStylePr>
    <w:tblStylePr w:type="firstCol">
      <w:rPr>
        <w:color w:val="FFFFFF"/>
      </w:rPr>
      <w:tblPr/>
      <w:tcPr>
        <w:shd w:val="clear" w:color="auto" w:fill="000000" w:themeFill="text1" w:themeFillShade="BF"/>
      </w:tcPr>
    </w:tblStylePr>
    <w:tblStylePr w:type="lastCol">
      <w:rPr>
        <w:color w:val="FFFFFF"/>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rPr>
      <w:tblPr/>
      <w:tcPr>
        <w:shd w:val="clear" w:color="auto" w:fill="B8CCE4" w:themeFill="accent1" w:themeFillTint="66"/>
      </w:tcPr>
    </w:tblStylePr>
    <w:tblStylePr w:type="firstCol">
      <w:rPr>
        <w:color w:val="FFFFFF"/>
      </w:rPr>
      <w:tblPr/>
      <w:tcPr>
        <w:shd w:val="clear" w:color="auto" w:fill="365F91" w:themeFill="accent1" w:themeFillShade="BF"/>
      </w:tcPr>
    </w:tblStylePr>
    <w:tblStylePr w:type="lastCol">
      <w:rPr>
        <w:color w:val="FFFFFF"/>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rPr>
      <w:tblPr/>
      <w:tcPr>
        <w:shd w:val="clear" w:color="auto" w:fill="E5B8B7" w:themeFill="accent2" w:themeFillTint="66"/>
      </w:tcPr>
    </w:tblStylePr>
    <w:tblStylePr w:type="firstCol">
      <w:rPr>
        <w:color w:val="FFFFFF"/>
      </w:rPr>
      <w:tblPr/>
      <w:tcPr>
        <w:shd w:val="clear" w:color="auto" w:fill="943634" w:themeFill="accent2" w:themeFillShade="BF"/>
      </w:tcPr>
    </w:tblStylePr>
    <w:tblStylePr w:type="lastCol">
      <w:rPr>
        <w:color w:val="FFFFFF"/>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rPr>
      <w:tblPr/>
      <w:tcPr>
        <w:shd w:val="clear" w:color="auto" w:fill="D6E3BC" w:themeFill="accent3" w:themeFillTint="66"/>
      </w:tcPr>
    </w:tblStylePr>
    <w:tblStylePr w:type="firstCol">
      <w:rPr>
        <w:color w:val="FFFFFF"/>
      </w:rPr>
      <w:tblPr/>
      <w:tcPr>
        <w:shd w:val="clear" w:color="auto" w:fill="76923C" w:themeFill="accent3" w:themeFillShade="BF"/>
      </w:tcPr>
    </w:tblStylePr>
    <w:tblStylePr w:type="lastCol">
      <w:rPr>
        <w:color w:val="FFFFFF"/>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rPr>
      <w:tblPr/>
      <w:tcPr>
        <w:shd w:val="clear" w:color="auto" w:fill="CCC0D9" w:themeFill="accent4" w:themeFillTint="66"/>
      </w:tcPr>
    </w:tblStylePr>
    <w:tblStylePr w:type="firstCol">
      <w:rPr>
        <w:color w:val="FFFFFF"/>
      </w:rPr>
      <w:tblPr/>
      <w:tcPr>
        <w:shd w:val="clear" w:color="auto" w:fill="5F497A" w:themeFill="accent4" w:themeFillShade="BF"/>
      </w:tcPr>
    </w:tblStylePr>
    <w:tblStylePr w:type="lastCol">
      <w:rPr>
        <w:color w:val="FFFFFF"/>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rPr>
      <w:tblPr/>
      <w:tcPr>
        <w:shd w:val="clear" w:color="auto" w:fill="B6DDE8" w:themeFill="accent5" w:themeFillTint="66"/>
      </w:tcPr>
    </w:tblStylePr>
    <w:tblStylePr w:type="firstCol">
      <w:rPr>
        <w:color w:val="FFFFFF"/>
      </w:rPr>
      <w:tblPr/>
      <w:tcPr>
        <w:shd w:val="clear" w:color="auto" w:fill="31849B" w:themeFill="accent5" w:themeFillShade="BF"/>
      </w:tcPr>
    </w:tblStylePr>
    <w:tblStylePr w:type="lastCol">
      <w:rPr>
        <w:color w:val="FFFFFF"/>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rPr>
      <w:tblPr/>
      <w:tcPr>
        <w:shd w:val="clear" w:color="auto" w:fill="FBD4B4" w:themeFill="accent6" w:themeFillTint="66"/>
      </w:tcPr>
    </w:tblStylePr>
    <w:tblStylePr w:type="firstCol">
      <w:rPr>
        <w:color w:val="FFFFFF"/>
      </w:rPr>
      <w:tblPr/>
      <w:tcPr>
        <w:shd w:val="clear" w:color="auto" w:fill="E36C0A" w:themeFill="accent6" w:themeFillShade="BF"/>
      </w:tcPr>
    </w:tblStylePr>
    <w:tblStylePr w:type="lastCol">
      <w:rPr>
        <w:color w:val="FFFFFF"/>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image" Target="media/image1.png"/><Relationship Id="rId13" Type="http://schemas.openxmlformats.org/officeDocument/2006/relationships/hyperlink" Target="https://www.corneritaliano.com/en/2050/resource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EBGaramond-Regular.odttf"/><Relationship Id="rId2" Type="http://schemas.openxmlformats.org/officeDocument/2006/relationships/font" Target="fonts/EBGaramond-Bold.odttf"/><Relationship Id="rId3" Type="http://schemas.openxmlformats.org/officeDocument/2006/relationships/font" Target="fonts/EBGaramond-Italic.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EB Garamond"/>
        <a:ea typeface="EB Garamond"/>
        <a:cs typeface="EB Garamond"/>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EB Garamond"/>
        <a:ea typeface="EB Garamond"/>
        <a:cs typeface="EB Garamond"/>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Advanced Two-System Testing Protocol</dc:title>
  <dc:subject>2050 Resource version EN-US-R2.3 | LETTER</dc:subject>
  <dc:creator>Marco De Prosperis</dc:creator>
  <cp:keywords>2050, EN-US-R2.3, July 2026 documentary snapshot, revised English interior</cp:keywords>
  <dc:description>EN-US-R2.3 resources verified against the English V51.2 interior. This release updates version labels and release documentation; substantive resource text is unchanged.</dc:description>
  <cp:lastModifiedBy>Corner Italiano LLC</cp:lastModifiedBy>
  <cp:revision>2</cp:revision>
  <dcterms:created xsi:type="dcterms:W3CDTF">2013-12-23T23:15:00Z</dcterms:created>
  <dcterms:modified xsi:type="dcterms:W3CDTF">2026-09-10T15:55:33Z</dcterms:modified>
  <cp:category/>
</cp:coreProperties>
</file>