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  <Default Extension="odttf" ContentType="application/vnd.openxmlformats-officedocument.obfuscatedFont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840" w:line="240" w:lineRule="auto"/>
        <w:jc w:val="center"/>
      </w:pPr>
      <w:r>
        <w:drawing>
          <wp:inline xmlns:a="http://schemas.openxmlformats.org/drawingml/2006/main" xmlns:pic="http://schemas.openxmlformats.org/drawingml/2006/picture">
            <wp:extent cx="1508760" cy="1005840"/>
            <wp:docPr id="1" name="Picture 1" descr="Corner Italiano editorial logo" title="Corner Italiano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ner-italiano-logo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08760" cy="1005840"/>
                    </a:xfrm>
                    <a:prstGeom prst="rect"/>
                  </pic:spPr>
                </pic:pic>
              </a:graphicData>
            </a:graphic>
          </wp:inline>
        </w:drawing>
        <w:rPr>
          <w:rFonts w:ascii="EB Garamond" w:hAnsi="EB Garamond" w:eastAsia="EB Garamond" w:cs="EB Garamond"/>
          <w:sz w:val="21"/>
          <w:szCs w:val="21"/>
        </w:rPr>
      </w:r>
    </w:p>
    <w:p>
      <w:pPr>
        <w:spacing w:before="520" w:after="160" w:line="270" w:lineRule="exact"/>
        <w:jc w:val="center"/>
      </w:pPr>
      <w:r>
        <w:rPr>
          <w:rFonts w:ascii="EB Garamond" w:hAnsi="EB Garamond" w:eastAsia="EB Garamond" w:cs="EB Garamond"/>
          <w:b/>
          <w:color w:val="B04A35"/>
          <w:sz w:val="21"/>
          <w:szCs w:val="21"/>
        </w:rPr>
        <w:t>CORNER ITALIANO  |  OFFICIAL RESOURCES</w:t>
      </w:r>
    </w:p>
    <w:p>
      <w:pPr>
        <w:pStyle w:val="Title"/>
        <w:jc w:val="center"/>
        <w:spacing w:line="640" w:lineRule="exact"/>
      </w:pPr>
      <w:r>
        <w:rPr>
          <w:rFonts w:ascii="EB Garamond" w:hAnsi="EB Garamond" w:eastAsia="EB Garamond" w:cs="EB Garamond"/>
          <w:b/>
          <w:color w:val="183445"/>
          <w:sz w:val="56"/>
          <w:szCs w:val="56"/>
        </w:rPr>
        <w:t>Davide Case</w:t>
      </w:r>
    </w:p>
    <w:p>
      <w:pPr>
        <w:pStyle w:val="Subtitle"/>
        <w:jc w:val="center"/>
        <w:spacing w:line="320" w:lineRule="exact"/>
      </w:pPr>
      <w:r>
        <w:rPr>
          <w:rFonts w:ascii="EB Garamond" w:hAnsi="EB Garamond" w:eastAsia="EB Garamond" w:cs="EB Garamond"/>
          <w:color w:val="5A686F"/>
          <w:sz w:val="26"/>
          <w:szCs w:val="26"/>
        </w:rPr>
        <w:t>Full record, exit, and reopening</w:t>
      </w:r>
    </w:p>
    <w:p>
      <w:pPr>
        <w:spacing w:before="440" w:line="270" w:lineRule="exact"/>
        <w:jc w:val="center"/>
      </w:pPr>
      <w:r>
        <w:rPr>
          <w:rFonts w:ascii="EB Garamond" w:hAnsi="EB Garamond" w:eastAsia="EB Garamond" w:cs="EB Garamond"/>
          <w:b/>
          <w:color w:val="B04A35"/>
          <w:sz w:val="21"/>
          <w:szCs w:val="21"/>
        </w:rPr>
        <w:t>COMPLETED EXAMPLE OF THE 2050 TEST</w:t>
      </w:r>
    </w:p>
    <w:p>
      <w:pPr>
        <w:jc w:val="center"/>
        <w:spacing w:line="270" w:lineRule="exact"/>
      </w:pPr>
      <w:r>
        <w:rPr>
          <w:rFonts w:ascii="EB Garamond" w:hAnsi="EB Garamond" w:eastAsia="EB Garamond" w:cs="EB Garamond"/>
          <w:color w:val="183445"/>
          <w:sz w:val="21"/>
          <w:szCs w:val="21"/>
        </w:rPr>
        <w:t>Aligned with the revised English interior · Documentary snapshot July 2026 · </w:t>
        <w:br/>
        <w:t>Resource version EN-US-R2.3</w:t>
      </w:r>
    </w:p>
    <w:p>
      <w:pPr>
        <w:spacing w:before="360" w:line="270" w:lineRule="exact"/>
        <w:jc w:val="center"/>
      </w:pPr>
      <w:hyperlink r:id="rId13">
        <w:r>
          <w:rPr>
            <w:rFonts w:ascii="EB Garamond" w:hAnsi="EB Garamond" w:eastAsia="EB Garamond" w:cs="EB Garamond"/>
            <w:color w:val="183445"/>
            <w:u w:val="single"/>
            <w:sz w:val="21"/>
            <w:szCs w:val="21"/>
          </w:rPr>
          <w:t>https://www.corneritaliano.com/en/2050/resources/</w:t>
        </w:r>
      </w:hyperlink>
    </w:p>
    <w:p>
      <w:r>
        <w:br w:type="page"/>
        <w:rPr>
          <w:rFonts w:ascii="EB Garamond" w:hAnsi="EB Garamond" w:eastAsia="EB Garamond" w:cs="EB Garamond"/>
          <w:sz w:val="21"/>
          <w:szCs w:val="21"/>
        </w:rPr>
      </w:r>
      <w:pPr/>
    </w:p>
    <w:tbl>
      <w:tblPr>
        <w:tblW w:type="dxa" w:w="9840"/>
        <w:jc w:val="left"/>
        <w:tblLayout w:type="fixed"/>
        <w:tblLook w:firstColumn="1" w:firstRow="1" w:lastColumn="0" w:lastRow="0" w:noHBand="0" w:noVBand="1" w:val="04A0"/>
        <w:tblInd w:w="150" w:type="dxa"/>
        <w:tblBorders>
          <w:top w:val="single" w:sz="7" w:space="0" w:color="B54B2A"/>
          <w:left w:val="single" w:sz="7" w:space="0" w:color="B54B2A"/>
          <w:bottom w:val="single" w:sz="7" w:space="0" w:color="B54B2A"/>
          <w:right w:val="single" w:sz="7" w:space="0" w:color="B54B2A"/>
          <w:insideH w:val="single" w:sz="7" w:space="0" w:color="B54B2A"/>
          <w:insideV w:val="single" w:sz="7" w:space="0" w:color="B54B2A"/>
        </w:tblBorders>
      </w:tblPr>
      <w:tblGrid>
        <w:gridCol w:w="9840"/>
      </w:tblGrid>
      <w:tr>
        <w:trPr>
          <w:cantSplit/>
        </w:trPr>
        <w:tc>
          <w:tcPr>
            <w:tcW w:type="dxa" w:w="9840"/>
            <w:shd w:fill="F7E7E0"/>
            <w:tcMar>
              <w:top w:w="120" w:type="dxa"/>
              <w:start w:w="150" w:type="dxa"/>
              <w:bottom w:w="120" w:type="dxa"/>
              <w:end w:w="150" w:type="dxa"/>
            </w:tcMar>
          </w:tcPr>
          <w:p>
            <w:pPr>
              <w:spacing w:after="40" w:line="210" w:lineRule="exact"/>
            </w:pPr>
            <w:r>
              <w:rPr>
                <w:rFonts w:ascii="EB Garamond" w:hAnsi="EB Garamond" w:eastAsia="EB Garamond" w:cs="EB Garamond"/>
                <w:b/>
                <w:color w:val="B04A35"/>
                <w:sz w:val="17"/>
                <w:szCs w:val="17"/>
              </w:rPr>
              <w:t xml:space="preserve">HOW TO READ THIS NARRATIVE SCENARIO  </w:t>
            </w:r>
            <w:r>
              <w:rPr>
                <w:rFonts w:ascii="EB Garamond" w:hAnsi="EB Garamond" w:eastAsia="EB Garamond" w:cs="EB Garamond"/>
                <w:color w:val="1F2D33"/>
                <w:sz w:val="17"/>
                <w:szCs w:val="17"/>
              </w:rPr>
              <w:t>The record distinguishes evidence status from the organizational decision. Even when all seven questions are documented, Do not delegate remains available. A capable product can leave too little benefit to justify oversight and dependence, including the work of exiting the service, in the particular context.</w:t>
            </w:r>
          </w:p>
        </w:tc>
      </w:tr>
    </w:tbl>
    <w:p>
      <w:pPr>
        <w:spacing w:after="0"/>
      </w:pPr>
    </w:p>
    <w:p>
      <w:pPr>
        <w:pStyle w:val="Heading1"/>
        <w:spacing w:line="460" w:lineRule="exact"/>
      </w:pPr>
      <w:r>
        <w:t>Case timeline</w:t>
        <w:rPr>
          <w:rFonts w:ascii="EB Garamond" w:hAnsi="EB Garamond" w:eastAsia="EB Garamond" w:cs="EB Garamond"/>
          <w:sz w:val="40"/>
          <w:szCs w:val="40"/>
          <w:color w:val="183445"/>
        </w:rPr>
      </w:r>
    </w:p>
    <w:tbl>
      <w:tblPr>
        <w:tblW w:type="dxa" w:w="9840"/>
        <w:jc w:val="left"/>
        <w:tblLayout w:type="fixed"/>
        <w:tblLook w:firstColumn="1" w:firstRow="1" w:lastColumn="0" w:lastRow="0" w:noHBand="0" w:noVBand="1" w:val="04A0"/>
        <w:tblInd w:w="120" w:type="dxa"/>
        <w:tblBorders>
          <w:top w:val="single" w:sz="5" w:space="0" w:color="C8D2D7"/>
          <w:left w:val="single" w:sz="5" w:space="0" w:color="C8D2D7"/>
          <w:bottom w:val="single" w:sz="5" w:space="0" w:color="C8D2D7"/>
          <w:right w:val="single" w:sz="5" w:space="0" w:color="C8D2D7"/>
          <w:insideH w:val="single" w:sz="5" w:space="0" w:color="C8D2D7"/>
          <w:insideV w:val="single" w:sz="5" w:space="0" w:color="C8D2D7"/>
        </w:tblBorders>
      </w:tblPr>
      <w:tblGrid>
        <w:gridCol w:w="2264"/>
        <w:gridCol w:w="7576"/>
      </w:tblGrid>
      <w:tr>
        <w:trPr>
          <w:tblHeader w:val="true"/>
          <w:cantSplit/>
        </w:trPr>
        <w:tc>
          <w:tcPr>
            <w:tcW w:type="dxa" w:w="2264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  <w:shd w:fill="123044"/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FFFFFF"/>
                <w:sz w:val="17"/>
                <w:szCs w:val="17"/>
              </w:rPr>
              <w:t>Moment</w:t>
            </w:r>
          </w:p>
        </w:tc>
        <w:tc>
          <w:tcPr>
            <w:tcW w:type="dxa" w:w="7576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  <w:shd w:fill="123044"/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FFFFFF"/>
                <w:sz w:val="17"/>
                <w:szCs w:val="17"/>
              </w:rPr>
              <w:t>Evidence and decision</w:t>
            </w:r>
          </w:p>
        </w:tc>
      </w:tr>
      <w:tr>
        <w:trPr>
          <w:cantSplit/>
        </w:trPr>
        <w:tc>
          <w:tcPr>
            <w:tcW w:type="dxa" w:w="2264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1F2D33"/>
                <w:sz w:val="17"/>
                <w:szCs w:val="17"/>
              </w:rPr>
              <w:t>Before the pilot</w:t>
            </w:r>
          </w:p>
        </w:tc>
        <w:tc>
          <w:tcPr>
            <w:tcW w:type="dxa" w:w="7576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 w:val="0"/>
                <w:color w:val="1F2D33"/>
                <w:sz w:val="17"/>
                <w:szCs w:val="17"/>
              </w:rPr>
              <w:t>The exit test fails: logs are readable, but configurations and permissions cannot be reconstructed. The pilot does not begin.</w:t>
            </w:r>
          </w:p>
        </w:tc>
      </w:tr>
      <w:tr>
        <w:trPr>
          <w:cantSplit/>
        </w:trPr>
        <w:tc>
          <w:tcPr>
            <w:tcW w:type="dxa" w:w="2264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  <w:shd w:fill="EFF2F3"/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1F2D33"/>
                <w:sz w:val="17"/>
                <w:szCs w:val="17"/>
              </w:rPr>
              <w:t>Second exit test</w:t>
            </w:r>
          </w:p>
        </w:tc>
        <w:tc>
          <w:tcPr>
            <w:tcW w:type="dxa" w:w="7576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  <w:shd w:fill="EFF2F3"/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 w:val="0"/>
                <w:color w:val="1F2D33"/>
                <w:sz w:val="17"/>
                <w:szCs w:val="17"/>
              </w:rPr>
              <w:t>The team reopens a case in a separate environment, reassigns permissions, and continues without the primary service.</w:t>
            </w:r>
          </w:p>
        </w:tc>
      </w:tr>
      <w:tr>
        <w:trPr>
          <w:cantSplit/>
        </w:trPr>
        <w:tc>
          <w:tcPr>
            <w:tcW w:type="dxa" w:w="2264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1F2D33"/>
                <w:sz w:val="17"/>
                <w:szCs w:val="17"/>
              </w:rPr>
              <w:t>Launch</w:t>
            </w:r>
          </w:p>
        </w:tc>
        <w:tc>
          <w:tcPr>
            <w:tcW w:type="dxa" w:w="7576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 w:val="0"/>
                <w:color w:val="1F2D33"/>
                <w:sz w:val="17"/>
                <w:szCs w:val="17"/>
              </w:rPr>
              <w:t>Decision: Limit and test for ninety days, first in shadow mode and then only in Proposes mode; no autonomous execution.</w:t>
            </w:r>
          </w:p>
        </w:tc>
      </w:tr>
      <w:tr>
        <w:trPr>
          <w:cantSplit/>
        </w:trPr>
        <w:tc>
          <w:tcPr>
            <w:tcW w:type="dxa" w:w="2264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  <w:shd w:fill="EFF2F3"/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1F2D33"/>
                <w:sz w:val="17"/>
                <w:szCs w:val="17"/>
              </w:rPr>
              <w:t>During the pilot</w:t>
            </w:r>
          </w:p>
        </w:tc>
        <w:tc>
          <w:tcPr>
            <w:tcW w:type="dxa" w:w="7576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  <w:shd w:fill="EFF2F3"/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 w:val="0"/>
                <w:color w:val="1F2D33"/>
                <w:sz w:val="17"/>
                <w:szCs w:val="17"/>
              </w:rPr>
              <w:t>The system finds useful precedents. A plausible error reuses a clause without the agreed limitation. No contract is sent.</w:t>
            </w:r>
          </w:p>
        </w:tc>
      </w:tr>
      <w:tr>
        <w:trPr>
          <w:cantSplit/>
        </w:trPr>
        <w:tc>
          <w:tcPr>
            <w:tcW w:type="dxa" w:w="2264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1F2D33"/>
                <w:sz w:val="17"/>
                <w:szCs w:val="17"/>
              </w:rPr>
              <w:t>October 15, 2050</w:t>
            </w:r>
          </w:p>
        </w:tc>
        <w:tc>
          <w:tcPr>
            <w:tcW w:type="dxa" w:w="7576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 w:val="0"/>
                <w:color w:val="1F2D33"/>
                <w:sz w:val="17"/>
                <w:szCs w:val="17"/>
              </w:rPr>
              <w:t>The net benefit remains modest and irregular after oversight, training, apprenticeship, and exit. Decision: Do not delegate.</w:t>
            </w:r>
          </w:p>
        </w:tc>
      </w:tr>
      <w:tr>
        <w:trPr>
          <w:cantSplit/>
        </w:trPr>
        <w:tc>
          <w:tcPr>
            <w:tcW w:type="dxa" w:w="2264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  <w:shd w:fill="EFF2F3"/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1F2D33"/>
                <w:sz w:val="17"/>
                <w:szCs w:val="17"/>
              </w:rPr>
              <w:t>October 16, 2050</w:t>
            </w:r>
          </w:p>
        </w:tc>
        <w:tc>
          <w:tcPr>
            <w:tcW w:type="dxa" w:w="7576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  <w:shd w:fill="EFF2F3"/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 w:val="0"/>
                <w:color w:val="1F2D33"/>
                <w:sz w:val="17"/>
                <w:szCs w:val="17"/>
              </w:rPr>
              <w:t>The record also captures the cost of saying no: queued proposals, nonbillable hours, the provider balance, and one lost client.</w:t>
            </w:r>
          </w:p>
        </w:tc>
      </w:tr>
      <w:tr>
        <w:trPr>
          <w:cantSplit/>
        </w:trPr>
        <w:tc>
          <w:tcPr>
            <w:tcW w:type="dxa" w:w="2264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1F2D33"/>
                <w:sz w:val="17"/>
                <w:szCs w:val="17"/>
              </w:rPr>
              <w:t>Closure</w:t>
            </w:r>
          </w:p>
        </w:tc>
        <w:tc>
          <w:tcPr>
            <w:tcW w:type="dxa" w:w="7576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 w:val="0"/>
                <w:color w:val="1F2D33"/>
                <w:sz w:val="17"/>
                <w:szCs w:val="17"/>
              </w:rPr>
              <w:t>Final export, access revocation, and random reopening of one case without provider assistance.</w:t>
            </w:r>
          </w:p>
        </w:tc>
      </w:tr>
      <w:tr>
        <w:trPr>
          <w:cantSplit/>
        </w:trPr>
        <w:tc>
          <w:tcPr>
            <w:tcW w:type="dxa" w:w="2264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  <w:shd w:fill="EFF2F3"/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1F2D33"/>
                <w:sz w:val="17"/>
                <w:szCs w:val="17"/>
              </w:rPr>
              <w:t>April 15, 2051</w:t>
            </w:r>
          </w:p>
        </w:tc>
        <w:tc>
          <w:tcPr>
            <w:tcW w:type="dxa" w:w="7576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  <w:shd w:fill="EFF2F3"/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 w:val="0"/>
                <w:color w:val="1F2D33"/>
                <w:sz w:val="17"/>
                <w:szCs w:val="17"/>
              </w:rPr>
              <w:t>Reopening for a narrower proposal: precedent search only, closed cases, shadow mode, no external effect, and the continuing possibility of saying no.</w:t>
            </w:r>
          </w:p>
        </w:tc>
      </w:tr>
    </w:tbl>
    <w:p>
      <w:pPr>
        <w:spacing w:after="0"/>
      </w:pPr>
    </w:p>
    <w:p>
      <w:pPr>
        <w:pStyle w:val="Heading1"/>
        <w:spacing w:line="460" w:lineRule="exact"/>
      </w:pPr>
      <w:r>
        <w:t xml:space="preserve">Record as of October 15, 2050, with follow-up</w:t>
        <w:rPr>
          <w:rFonts w:ascii="EB Garamond" w:hAnsi="EB Garamond" w:eastAsia="EB Garamond" w:cs="EB Garamond"/>
          <w:sz w:val="40"/>
          <w:szCs w:val="40"/>
          <w:color w:val="183445"/>
        </w:rPr>
      </w:r>
    </w:p>
    <w:tbl>
      <w:tblPr>
        <w:tblW w:type="dxa" w:w="9840"/>
        <w:jc w:val="left"/>
        <w:tblLayout w:type="fixed"/>
        <w:tblLook w:firstColumn="1" w:firstRow="1" w:lastColumn="0" w:lastRow="0" w:noHBand="0" w:noVBand="1" w:val="04A0"/>
        <w:tblInd w:w="120" w:type="dxa"/>
        <w:tblBorders>
          <w:top w:val="single" w:sz="5" w:space="0" w:color="C8D2D7"/>
          <w:left w:val="single" w:sz="5" w:space="0" w:color="C8D2D7"/>
          <w:bottom w:val="single" w:sz="5" w:space="0" w:color="C8D2D7"/>
          <w:right w:val="single" w:sz="5" w:space="0" w:color="C8D2D7"/>
          <w:insideH w:val="single" w:sz="5" w:space="0" w:color="C8D2D7"/>
          <w:insideV w:val="single" w:sz="5" w:space="0" w:color="C8D2D7"/>
        </w:tblBorders>
      </w:tblPr>
      <w:tblGrid>
        <w:gridCol w:w="2755"/>
        <w:gridCol w:w="7085"/>
      </w:tblGrid>
      <w:tr>
        <w:trPr>
          <w:tblHeader w:val="true"/>
          <w:cantSplit/>
        </w:trPr>
        <w:tc>
          <w:tcPr>
            <w:tcW w:type="dxa" w:w="2755"/>
            <w:vAlign w:val="center"/>
            <w:tcMar>
              <w:top w:w="65" w:type="dxa"/>
              <w:start w:w="120" w:type="dxa"/>
              <w:bottom w:w="65" w:type="dxa"/>
              <w:end w:w="120" w:type="dxa"/>
            </w:tcMar>
            <w:shd w:fill="123044"/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FFFFFF"/>
                <w:sz w:val="17"/>
                <w:szCs w:val="17"/>
              </w:rPr>
              <w:t>Field</w:t>
            </w:r>
          </w:p>
        </w:tc>
        <w:tc>
          <w:tcPr>
            <w:tcW w:type="dxa" w:w="7085"/>
            <w:vAlign w:val="center"/>
            <w:tcMar>
              <w:top w:w="65" w:type="dxa"/>
              <w:start w:w="120" w:type="dxa"/>
              <w:bottom w:w="65" w:type="dxa"/>
              <w:end w:w="120" w:type="dxa"/>
            </w:tcMar>
            <w:shd w:fill="123044"/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FFFFFF"/>
                <w:sz w:val="17"/>
                <w:szCs w:val="17"/>
              </w:rPr>
              <w:t xml:space="preserve">Record as of October 15, 2050, with follow-up</w:t>
            </w:r>
          </w:p>
        </w:tc>
      </w:tr>
      <w:tr>
        <w:trPr>
          <w:cantSplit/>
        </w:trPr>
        <w:tc>
          <w:tcPr>
            <w:tcW w:type="dxa" w:w="2755"/>
            <w:vAlign w:val="center"/>
            <w:tcMar>
              <w:top w:w="65" w:type="dxa"/>
              <w:start w:w="120" w:type="dxa"/>
              <w:bottom w:w="65" w:type="dxa"/>
              <w:end w:w="120" w:type="dxa"/>
            </w:tcMar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1F2D33"/>
                <w:sz w:val="17"/>
                <w:szCs w:val="17"/>
              </w:rPr>
              <w:t>System and decision</w:t>
            </w:r>
          </w:p>
        </w:tc>
        <w:tc>
          <w:tcPr>
            <w:tcW w:type="dxa" w:w="7085"/>
            <w:vAlign w:val="center"/>
            <w:tcMar>
              <w:top w:w="65" w:type="dxa"/>
              <w:start w:w="120" w:type="dxa"/>
              <w:bottom w:w="65" w:type="dxa"/>
              <w:end w:w="120" w:type="dxa"/>
            </w:tcMar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 w:val="0"/>
                <w:color w:val="1F2D33"/>
                <w:sz w:val="17"/>
                <w:szCs w:val="17"/>
              </w:rPr>
              <w:t>Operational twin for contract work. Decide whether to adopt it after a ninety-day pilot, first in shadow mode and then, if the evidence holds, in Proposes mode.</w:t>
            </w:r>
          </w:p>
        </w:tc>
      </w:tr>
      <w:tr>
        <w:trPr>
          <w:cantSplit/>
        </w:trPr>
        <w:tc>
          <w:tcPr>
            <w:tcW w:type="dxa" w:w="2755"/>
            <w:vAlign w:val="center"/>
            <w:tcMar>
              <w:top w:w="65" w:type="dxa"/>
              <w:start w:w="120" w:type="dxa"/>
              <w:bottom w:w="65" w:type="dxa"/>
              <w:end w:w="120" w:type="dxa"/>
            </w:tcMar>
            <w:shd w:fill="EFF2F3"/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1F2D33"/>
                <w:sz w:val="17"/>
                <w:szCs w:val="17"/>
              </w:rPr>
              <w:t>Context and exposed people</w:t>
            </w:r>
          </w:p>
        </w:tc>
        <w:tc>
          <w:tcPr>
            <w:tcW w:type="dxa" w:w="7085"/>
            <w:vAlign w:val="center"/>
            <w:tcMar>
              <w:top w:w="65" w:type="dxa"/>
              <w:start w:w="120" w:type="dxa"/>
              <w:bottom w:w="65" w:type="dxa"/>
              <w:end w:w="120" w:type="dxa"/>
            </w:tcMar>
            <w:shd w:fill="EFF2F3"/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 w:val="0"/>
                <w:color w:val="1F2D33"/>
                <w:sz w:val="17"/>
                <w:szCs w:val="17"/>
              </w:rPr>
              <w:t>Davide’s small business; the contract lead; a younger colleague in apprenticeship; the commercial director; clients and counterparties bound by proposals.</w:t>
            </w:r>
          </w:p>
        </w:tc>
      </w:tr>
      <w:tr>
        <w:trPr>
          <w:cantSplit/>
        </w:trPr>
        <w:tc>
          <w:tcPr>
            <w:tcW w:type="dxa" w:w="2755"/>
            <w:vAlign w:val="center"/>
            <w:tcMar>
              <w:top w:w="65" w:type="dxa"/>
              <w:start w:w="120" w:type="dxa"/>
              <w:bottom w:w="65" w:type="dxa"/>
              <w:end w:w="120" w:type="dxa"/>
            </w:tcMar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1F2D33"/>
                <w:sz w:val="17"/>
                <w:szCs w:val="17"/>
              </w:rPr>
              <w:t>Purpose - Sufficient</w:t>
            </w:r>
          </w:p>
        </w:tc>
        <w:tc>
          <w:tcPr>
            <w:tcW w:type="dxa" w:w="7085"/>
            <w:vAlign w:val="center"/>
            <w:tcMar>
              <w:top w:w="65" w:type="dxa"/>
              <w:start w:w="120" w:type="dxa"/>
              <w:bottom w:w="65" w:type="dxa"/>
              <w:end w:w="120" w:type="dxa"/>
            </w:tcMar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 w:val="0"/>
                <w:color w:val="1F2D33"/>
                <w:sz w:val="17"/>
                <w:szCs w:val="17"/>
              </w:rPr>
              <w:t>Reduce backlog and preparation time without increasing missed exceptions, late corrections, or commitments that are not understood. The organizational alternative is assessed against the same need.</w:t>
            </w:r>
          </w:p>
        </w:tc>
      </w:tr>
      <w:tr>
        <w:trPr>
          <w:cantSplit/>
        </w:trPr>
        <w:tc>
          <w:tcPr>
            <w:tcW w:type="dxa" w:w="2755"/>
            <w:vAlign w:val="center"/>
            <w:tcMar>
              <w:top w:w="65" w:type="dxa"/>
              <w:start w:w="120" w:type="dxa"/>
              <w:bottom w:w="65" w:type="dxa"/>
              <w:end w:w="120" w:type="dxa"/>
            </w:tcMar>
            <w:shd w:fill="EFF2F3"/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1F2D33"/>
                <w:sz w:val="17"/>
                <w:szCs w:val="17"/>
              </w:rPr>
              <w:t>Mandate - Sufficient</w:t>
            </w:r>
          </w:p>
        </w:tc>
        <w:tc>
          <w:tcPr>
            <w:tcW w:type="dxa" w:w="7085"/>
            <w:vAlign w:val="center"/>
            <w:tcMar>
              <w:top w:w="65" w:type="dxa"/>
              <w:start w:w="120" w:type="dxa"/>
              <w:bottom w:w="65" w:type="dxa"/>
              <w:end w:w="120" w:type="dxa"/>
            </w:tcMar>
            <w:shd w:fill="EFF2F3"/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 w:val="0"/>
                <w:color w:val="1F2D33"/>
                <w:sz w:val="17"/>
                <w:szCs w:val="17"/>
              </w:rPr>
              <w:t>The twin compares precedents, flags deviations, and formulates alternatives. No Decides or Executes mode: it neither sends nor signs; shifts, prices, personnel, and contractual commitments remain excluded. Each supervisor follows no more than twelve open processes, a scenario threshold to be reviewed under actual load.</w:t>
            </w:r>
          </w:p>
        </w:tc>
      </w:tr>
      <w:tr>
        <w:trPr>
          <w:cantSplit/>
        </w:trPr>
        <w:tc>
          <w:tcPr>
            <w:tcW w:type="dxa" w:w="2755"/>
            <w:vAlign w:val="center"/>
            <w:tcMar>
              <w:top w:w="65" w:type="dxa"/>
              <w:start w:w="120" w:type="dxa"/>
              <w:bottom w:w="65" w:type="dxa"/>
              <w:end w:w="120" w:type="dxa"/>
            </w:tcMar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1F2D33"/>
                <w:sz w:val="17"/>
                <w:szCs w:val="17"/>
              </w:rPr>
              <w:t>Evidence - Sufficient</w:t>
            </w:r>
          </w:p>
        </w:tc>
        <w:tc>
          <w:tcPr>
            <w:tcW w:type="dxa" w:w="7085"/>
            <w:vAlign w:val="center"/>
            <w:tcMar>
              <w:top w:w="65" w:type="dxa"/>
              <w:start w:w="120" w:type="dxa"/>
              <w:bottom w:w="65" w:type="dxa"/>
              <w:end w:w="120" w:type="dxa"/>
            </w:tcMar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 w:val="0"/>
                <w:color w:val="1F2D33"/>
                <w:sz w:val="17"/>
                <w:szCs w:val="17"/>
              </w:rPr>
              <w:t>Closed cases including costly exceptions, shadow use, later Proposes mode, a simulated incident, and actual load. The system finds many useful precedents and makes one plausible error at the decisive point; the benefit is real, modest, and irregular.</w:t>
            </w:r>
          </w:p>
        </w:tc>
      </w:tr>
      <w:tr>
        <w:trPr>
          <w:cantSplit/>
        </w:trPr>
        <w:tc>
          <w:tcPr>
            <w:tcW w:type="dxa" w:w="2755"/>
            <w:vAlign w:val="center"/>
            <w:tcMar>
              <w:top w:w="65" w:type="dxa"/>
              <w:start w:w="120" w:type="dxa"/>
              <w:bottom w:w="65" w:type="dxa"/>
              <w:end w:w="120" w:type="dxa"/>
            </w:tcMar>
            <w:shd w:fill="EFF2F3"/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1F2D33"/>
                <w:sz w:val="17"/>
                <w:szCs w:val="17"/>
              </w:rPr>
              <w:t>Distribution - Sufficient</w:t>
            </w:r>
          </w:p>
        </w:tc>
        <w:tc>
          <w:tcPr>
            <w:tcW w:type="dxa" w:w="7085"/>
            <w:vAlign w:val="center"/>
            <w:tcMar>
              <w:top w:w="65" w:type="dxa"/>
              <w:start w:w="120" w:type="dxa"/>
              <w:bottom w:w="65" w:type="dxa"/>
              <w:end w:w="120" w:type="dxa"/>
            </w:tcMar>
            <w:shd w:fill="EFF2F3"/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 w:val="0"/>
                <w:color w:val="1F2D33"/>
                <w:sz w:val="17"/>
                <w:szCs w:val="17"/>
              </w:rPr>
              <w:t>Gross savings are separated from expert hours, training, apprenticeship, client delays, and exit work. The younger colleague receives protected time to reconstruct cases.</w:t>
            </w:r>
          </w:p>
        </w:tc>
      </w:tr>
    </w:tbl>
    <w:p>
      <w:pPr>
        <w:spacing w:after="0"/>
      </w:pPr>
    </w:p>
    <w:p>
      <w:r>
        <w:br w:type="page"/>
        <w:rPr>
          <w:rFonts w:ascii="EB Garamond" w:hAnsi="EB Garamond" w:eastAsia="EB Garamond" w:cs="EB Garamond"/>
          <w:sz w:val="21"/>
          <w:szCs w:val="21"/>
        </w:rPr>
      </w:r>
      <w:pPr/>
    </w:p>
    <w:p>
      <w:pPr>
        <w:pStyle w:val="Heading1"/>
        <w:spacing w:line="460" w:lineRule="exact"/>
      </w:pPr>
      <w:r>
        <w:t xml:space="preserve">Record as of October 15, 2050, with follow-up - continued</w:t>
        <w:rPr>
          <w:rFonts w:ascii="EB Garamond" w:hAnsi="EB Garamond" w:eastAsia="EB Garamond" w:cs="EB Garamond"/>
          <w:sz w:val="40"/>
          <w:szCs w:val="40"/>
          <w:color w:val="183445"/>
        </w:rPr>
      </w:r>
    </w:p>
    <w:tbl>
      <w:tblPr>
        <w:tblW w:type="dxa" w:w="9840"/>
        <w:jc w:val="left"/>
        <w:tblLayout w:type="fixed"/>
        <w:tblLook w:firstColumn="1" w:firstRow="1" w:lastColumn="0" w:lastRow="0" w:noHBand="0" w:noVBand="1" w:val="04A0"/>
        <w:tblInd w:w="120" w:type="dxa"/>
        <w:tblBorders>
          <w:top w:val="single" w:sz="5" w:space="0" w:color="C8D2D7"/>
          <w:left w:val="single" w:sz="5" w:space="0" w:color="C8D2D7"/>
          <w:bottom w:val="single" w:sz="5" w:space="0" w:color="C8D2D7"/>
          <w:right w:val="single" w:sz="5" w:space="0" w:color="C8D2D7"/>
          <w:insideH w:val="single" w:sz="5" w:space="0" w:color="C8D2D7"/>
          <w:insideV w:val="single" w:sz="5" w:space="0" w:color="C8D2D7"/>
        </w:tblBorders>
      </w:tblPr>
      <w:tblGrid>
        <w:gridCol w:w="2755"/>
        <w:gridCol w:w="7085"/>
      </w:tblGrid>
      <w:tr>
        <w:trPr>
          <w:tblHeader w:val="true"/>
          <w:cantSplit/>
        </w:trPr>
        <w:tc>
          <w:tcPr>
            <w:tcW w:type="dxa" w:w="2755"/>
            <w:vAlign w:val="center"/>
            <w:tcMar>
              <w:top w:w="65" w:type="dxa"/>
              <w:start w:w="120" w:type="dxa"/>
              <w:bottom w:w="65" w:type="dxa"/>
              <w:end w:w="120" w:type="dxa"/>
            </w:tcMar>
            <w:shd w:fill="123044"/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FFFFFF"/>
                <w:sz w:val="17"/>
                <w:szCs w:val="17"/>
              </w:rPr>
              <w:t>Field</w:t>
            </w:r>
          </w:p>
        </w:tc>
        <w:tc>
          <w:tcPr>
            <w:tcW w:type="dxa" w:w="7085"/>
            <w:vAlign w:val="center"/>
            <w:tcMar>
              <w:top w:w="65" w:type="dxa"/>
              <w:start w:w="120" w:type="dxa"/>
              <w:bottom w:w="65" w:type="dxa"/>
              <w:end w:w="120" w:type="dxa"/>
            </w:tcMar>
            <w:shd w:fill="123044"/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FFFFFF"/>
                <w:sz w:val="17"/>
                <w:szCs w:val="17"/>
              </w:rPr>
              <w:t xml:space="preserve">Record as of October 15, 2050, with follow-up</w:t>
            </w:r>
          </w:p>
        </w:tc>
      </w:tr>
      <w:tr>
        <w:trPr>
          <w:cantSplit/>
        </w:trPr>
        <w:tc>
          <w:tcPr>
            <w:tcW w:type="dxa" w:w="2755"/>
            <w:vAlign w:val="center"/>
            <w:tcMar>
              <w:top w:w="65" w:type="dxa"/>
              <w:start w:w="120" w:type="dxa"/>
              <w:bottom w:w="65" w:type="dxa"/>
              <w:end w:w="120" w:type="dxa"/>
            </w:tcMar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1F2D33"/>
                <w:sz w:val="17"/>
                <w:szCs w:val="17"/>
              </w:rPr>
              <w:t>Harm - Sufficient</w:t>
            </w:r>
          </w:p>
        </w:tc>
        <w:tc>
          <w:tcPr>
            <w:tcW w:type="dxa" w:w="7085"/>
            <w:vAlign w:val="center"/>
            <w:tcMar>
              <w:top w:w="65" w:type="dxa"/>
              <w:start w:w="120" w:type="dxa"/>
              <w:bottom w:w="65" w:type="dxa"/>
              <w:end w:w="120" w:type="dxa"/>
            </w:tcMar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 w:val="0"/>
                <w:color w:val="1F2D33"/>
                <w:sz w:val="17"/>
                <w:szCs w:val="17"/>
              </w:rPr>
              <w:t>Plausible failure: a clause omits a limitation or transfers risk before the source and exception are understood. Signature leaves a control window; it does not make the harm negligible.</w:t>
            </w:r>
          </w:p>
        </w:tc>
      </w:tr>
      <w:tr>
        <w:trPr>
          <w:cantSplit/>
        </w:trPr>
        <w:tc>
          <w:tcPr>
            <w:tcW w:type="dxa" w:w="2755"/>
            <w:vAlign w:val="center"/>
            <w:tcMar>
              <w:top w:w="65" w:type="dxa"/>
              <w:start w:w="120" w:type="dxa"/>
              <w:bottom w:w="65" w:type="dxa"/>
              <w:end w:w="120" w:type="dxa"/>
            </w:tcMar>
            <w:shd w:fill="EFF2F3"/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1F2D33"/>
                <w:sz w:val="17"/>
                <w:szCs w:val="17"/>
              </w:rPr>
              <w:t>Redress - Sufficient in the pilot</w:t>
            </w:r>
          </w:p>
        </w:tc>
        <w:tc>
          <w:tcPr>
            <w:tcW w:type="dxa" w:w="7085"/>
            <w:vAlign w:val="center"/>
            <w:tcMar>
              <w:top w:w="65" w:type="dxa"/>
              <w:start w:w="120" w:type="dxa"/>
              <w:bottom w:w="65" w:type="dxa"/>
              <w:end w:w="120" w:type="dxa"/>
            </w:tcMar>
            <w:shd w:fill="EFF2F3"/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 w:val="0"/>
                <w:color w:val="1F2D33"/>
                <w:sz w:val="17"/>
                <w:szCs w:val="17"/>
              </w:rPr>
              <w:t>No external effect is automatic. The contract lead can reopen, modify, block, and suspend; interventions remain recorded. The commercial director’s dissent is retained but does not replace the counterparty’s Redress.</w:t>
            </w:r>
          </w:p>
        </w:tc>
      </w:tr>
      <w:tr>
        <w:trPr>
          <w:cantSplit/>
        </w:trPr>
        <w:tc>
          <w:tcPr>
            <w:tcW w:type="dxa" w:w="2755"/>
            <w:vAlign w:val="center"/>
            <w:tcMar>
              <w:top w:w="65" w:type="dxa"/>
              <w:start w:w="120" w:type="dxa"/>
              <w:bottom w:w="65" w:type="dxa"/>
              <w:end w:w="120" w:type="dxa"/>
            </w:tcMar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1F2D33"/>
                <w:sz w:val="17"/>
                <w:szCs w:val="17"/>
              </w:rPr>
              <w:t>Exit - Blocking, then Sufficient</w:t>
            </w:r>
          </w:p>
        </w:tc>
        <w:tc>
          <w:tcPr>
            <w:tcW w:type="dxa" w:w="7085"/>
            <w:vAlign w:val="center"/>
            <w:tcMar>
              <w:top w:w="65" w:type="dxa"/>
              <w:start w:w="120" w:type="dxa"/>
              <w:bottom w:w="65" w:type="dxa"/>
              <w:end w:w="120" w:type="dxa"/>
            </w:tcMar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 w:val="0"/>
                <w:color w:val="1F2D33"/>
                <w:sz w:val="17"/>
                <w:szCs w:val="17"/>
              </w:rPr>
              <w:t>The first export does not reconstruct configurations and permissions, so the pilot does not begin. In the second test, the team reopens a case in a separate environment and continues without the primary service. At closure, it exports logs and configurations, reopens a random case without provider help, and revokes access.</w:t>
            </w:r>
          </w:p>
        </w:tc>
      </w:tr>
      <w:tr>
        <w:trPr>
          <w:cantSplit/>
        </w:trPr>
        <w:tc>
          <w:tcPr>
            <w:tcW w:type="dxa" w:w="2755"/>
            <w:vAlign w:val="center"/>
            <w:tcMar>
              <w:top w:w="65" w:type="dxa"/>
              <w:start w:w="120" w:type="dxa"/>
              <w:bottom w:w="65" w:type="dxa"/>
              <w:end w:w="120" w:type="dxa"/>
            </w:tcMar>
            <w:shd w:fill="EFF2F3"/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1F2D33"/>
                <w:sz w:val="17"/>
                <w:szCs w:val="17"/>
              </w:rPr>
              <w:t>Provisional decision</w:t>
            </w:r>
          </w:p>
        </w:tc>
        <w:tc>
          <w:tcPr>
            <w:tcW w:type="dxa" w:w="7085"/>
            <w:vAlign w:val="center"/>
            <w:tcMar>
              <w:top w:w="65" w:type="dxa"/>
              <w:start w:w="120" w:type="dxa"/>
              <w:bottom w:w="65" w:type="dxa"/>
              <w:end w:w="120" w:type="dxa"/>
            </w:tcMar>
            <w:shd w:fill="EFF2F3"/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 w:val="0"/>
                <w:color w:val="1F2D33"/>
                <w:sz w:val="17"/>
                <w:szCs w:val="17"/>
              </w:rPr>
              <w:t>Limit and test: ninety days, first in shadow mode and then in Proposes mode; no autonomous execution; oversight, control, and apprenticeship count against the benefit.</w:t>
            </w:r>
          </w:p>
        </w:tc>
      </w:tr>
      <w:tr>
        <w:trPr>
          <w:cantSplit/>
        </w:trPr>
        <w:tc>
          <w:tcPr>
            <w:tcW w:type="dxa" w:w="2755"/>
            <w:vAlign w:val="center"/>
            <w:tcMar>
              <w:top w:w="65" w:type="dxa"/>
              <w:start w:w="120" w:type="dxa"/>
              <w:bottom w:w="65" w:type="dxa"/>
              <w:end w:w="120" w:type="dxa"/>
            </w:tcMar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1F2D33"/>
                <w:sz w:val="17"/>
                <w:szCs w:val="17"/>
              </w:rPr>
              <w:t>Monitoring</w:t>
            </w:r>
          </w:p>
        </w:tc>
        <w:tc>
          <w:tcPr>
            <w:tcW w:type="dxa" w:w="7085"/>
            <w:vAlign w:val="center"/>
            <w:tcMar>
              <w:top w:w="65" w:type="dxa"/>
              <w:start w:w="120" w:type="dxa"/>
              <w:bottom w:w="65" w:type="dxa"/>
              <w:end w:w="120" w:type="dxa"/>
            </w:tcMar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 w:val="0"/>
                <w:color w:val="1F2D33"/>
                <w:sz w:val="17"/>
                <w:szCs w:val="17"/>
              </w:rPr>
              <w:t>The team records improved times, exceptions, interventions, expert hours, and reconstruction of origin. The system remains technically capable; when oversight is performed in practice, the net advantage does not sustain that process and volume.</w:t>
            </w:r>
          </w:p>
        </w:tc>
      </w:tr>
      <w:tr>
        <w:trPr>
          <w:cantSplit/>
        </w:trPr>
        <w:tc>
          <w:tcPr>
            <w:tcW w:type="dxa" w:w="2755"/>
            <w:vAlign w:val="center"/>
            <w:tcMar>
              <w:top w:w="65" w:type="dxa"/>
              <w:start w:w="120" w:type="dxa"/>
              <w:bottom w:w="65" w:type="dxa"/>
              <w:end w:w="120" w:type="dxa"/>
            </w:tcMar>
            <w:shd w:fill="EFF2F3"/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1F2D33"/>
                <w:sz w:val="17"/>
                <w:szCs w:val="17"/>
              </w:rPr>
              <w:t>Final decision - October 15, 2050</w:t>
            </w:r>
          </w:p>
        </w:tc>
        <w:tc>
          <w:tcPr>
            <w:tcW w:type="dxa" w:w="7085"/>
            <w:vAlign w:val="center"/>
            <w:tcMar>
              <w:top w:w="65" w:type="dxa"/>
              <w:start w:w="120" w:type="dxa"/>
              <w:bottom w:w="65" w:type="dxa"/>
              <w:end w:w="120" w:type="dxa"/>
            </w:tcMar>
            <w:shd w:fill="EFF2F3"/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 w:val="0"/>
                <w:color w:val="1F2D33"/>
                <w:sz w:val="17"/>
                <w:szCs w:val="17"/>
              </w:rPr>
              <w:t>Do not delegate. Do not renew even Proposes mode, activate exit, and retain an alternative. Davide signs and assumes a choice that forgoes a real benefit.</w:t>
            </w:r>
          </w:p>
        </w:tc>
      </w:tr>
      <w:tr>
        <w:trPr>
          <w:cantSplit/>
        </w:trPr>
        <w:tc>
          <w:tcPr>
            <w:tcW w:type="dxa" w:w="2755"/>
            <w:vAlign w:val="center"/>
            <w:tcMar>
              <w:top w:w="65" w:type="dxa"/>
              <w:start w:w="120" w:type="dxa"/>
              <w:bottom w:w="65" w:type="dxa"/>
              <w:end w:w="120" w:type="dxa"/>
            </w:tcMar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1F2D33"/>
                <w:sz w:val="17"/>
                <w:szCs w:val="17"/>
              </w:rPr>
              <w:t>Alternative retained</w:t>
            </w:r>
          </w:p>
        </w:tc>
        <w:tc>
          <w:tcPr>
            <w:tcW w:type="dxa" w:w="7085"/>
            <w:vAlign w:val="center"/>
            <w:tcMar>
              <w:top w:w="65" w:type="dxa"/>
              <w:start w:w="120" w:type="dxa"/>
              <w:bottom w:w="65" w:type="dxa"/>
              <w:end w:w="120" w:type="dxa"/>
            </w:tcMar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 w:val="0"/>
                <w:color w:val="1F2D33"/>
                <w:sz w:val="17"/>
                <w:szCs w:val="17"/>
              </w:rPr>
              <w:t>Collection of approved clauses, exceptions identified at intake, earlier involvement of the expert, and protected hours for reconstructing cases.</w:t>
            </w:r>
          </w:p>
        </w:tc>
      </w:tr>
      <w:tr>
        <w:trPr>
          <w:cantSplit/>
        </w:trPr>
        <w:tc>
          <w:tcPr>
            <w:tcW w:type="dxa" w:w="2755"/>
            <w:vAlign w:val="center"/>
            <w:tcMar>
              <w:top w:w="65" w:type="dxa"/>
              <w:start w:w="120" w:type="dxa"/>
              <w:bottom w:w="65" w:type="dxa"/>
              <w:end w:w="120" w:type="dxa"/>
            </w:tcMar>
            <w:shd w:fill="EFF2F3"/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1F2D33"/>
                <w:sz w:val="17"/>
                <w:szCs w:val="17"/>
              </w:rPr>
              <w:t>Cost of saying no</w:t>
            </w:r>
          </w:p>
        </w:tc>
        <w:tc>
          <w:tcPr>
            <w:tcW w:type="dxa" w:w="7085"/>
            <w:vAlign w:val="center"/>
            <w:tcMar>
              <w:top w:w="65" w:type="dxa"/>
              <w:start w:w="120" w:type="dxa"/>
              <w:bottom w:w="65" w:type="dxa"/>
              <w:end w:w="120" w:type="dxa"/>
            </w:tcMar>
            <w:shd w:fill="EFF2F3"/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 w:val="0"/>
                <w:color w:val="1F2D33"/>
                <w:sz w:val="17"/>
                <w:szCs w:val="17"/>
              </w:rPr>
              <w:t>Queued proposals, nonbillable hours, provider balance, lower margin, and one lost client. The business retains readable case files and more distributed competence.</w:t>
            </w:r>
          </w:p>
        </w:tc>
      </w:tr>
      <w:tr>
        <w:trPr>
          <w:cantSplit/>
        </w:trPr>
        <w:tc>
          <w:tcPr>
            <w:tcW w:type="dxa" w:w="2755"/>
            <w:vAlign w:val="center"/>
            <w:tcMar>
              <w:top w:w="65" w:type="dxa"/>
              <w:start w:w="120" w:type="dxa"/>
              <w:bottom w:w="65" w:type="dxa"/>
              <w:end w:w="120" w:type="dxa"/>
            </w:tcMar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1F2D33"/>
                <w:sz w:val="17"/>
                <w:szCs w:val="17"/>
              </w:rPr>
              <w:t>Responsible person and review</w:t>
            </w:r>
          </w:p>
        </w:tc>
        <w:tc>
          <w:tcPr>
            <w:tcW w:type="dxa" w:w="7085"/>
            <w:vAlign w:val="center"/>
            <w:tcMar>
              <w:top w:w="65" w:type="dxa"/>
              <w:start w:w="120" w:type="dxa"/>
              <w:bottom w:w="65" w:type="dxa"/>
              <w:end w:w="120" w:type="dxa"/>
            </w:tcMar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 w:val="0"/>
                <w:color w:val="1F2D33"/>
                <w:sz w:val="17"/>
                <w:szCs w:val="17"/>
              </w:rPr>
              <w:t>Davide. Closing record dated October 16, 2050; review scheduled for April 15, 2051.</w:t>
            </w:r>
          </w:p>
        </w:tc>
      </w:tr>
    </w:tbl>
    <w:p>
      <w:pPr>
        <w:spacing w:after="0"/>
      </w:pPr>
    </w:p>
    <w:p>
      <w:pPr>
        <w:pStyle w:val="Heading1"/>
        <w:spacing w:line="460" w:lineRule="exact"/>
      </w:pPr>
      <w:r>
        <w:t>Reopening: April 15, 2051</w:t>
        <w:rPr>
          <w:rFonts w:ascii="EB Garamond" w:hAnsi="EB Garamond" w:eastAsia="EB Garamond" w:cs="EB Garamond"/>
          <w:sz w:val="40"/>
          <w:szCs w:val="40"/>
          <w:color w:val="183445"/>
        </w:rPr>
      </w:r>
    </w:p>
    <w:p>
      <w:pPr>
        <w:keepLines w:val="0"/>
        <w:spacing w:line="270" w:lineRule="exact"/>
      </w:pPr>
      <w:r>
        <w:rPr>
          <w:rFonts w:ascii="EB Garamond" w:hAnsi="EB Garamond" w:eastAsia="EB Garamond" w:cs="EB Garamond"/>
          <w:color w:val="1F2D33"/>
          <w:sz w:val="21"/>
          <w:szCs w:val="21"/>
        </w:rPr>
        <w:t>Six months later, the review reopens the question while preserving the first decision and its reasons. Davide considers a narrower proposal through a new test, separate from purchase. He can still say no again.</w:t>
      </w:r>
    </w:p>
    <w:tbl>
      <w:tblPr>
        <w:tblW w:type="dxa" w:w="9840"/>
        <w:jc w:val="left"/>
        <w:tblLayout w:type="fixed"/>
        <w:tblLook w:firstColumn="1" w:firstRow="1" w:lastColumn="0" w:lastRow="0" w:noHBand="0" w:noVBand="1" w:val="04A0"/>
        <w:tblInd w:w="120" w:type="dxa"/>
        <w:tblBorders>
          <w:top w:val="single" w:sz="5" w:space="0" w:color="C8D2D7"/>
          <w:left w:val="single" w:sz="5" w:space="0" w:color="C8D2D7"/>
          <w:bottom w:val="single" w:sz="5" w:space="0" w:color="C8D2D7"/>
          <w:right w:val="single" w:sz="5" w:space="0" w:color="C8D2D7"/>
          <w:insideH w:val="single" w:sz="5" w:space="0" w:color="C8D2D7"/>
          <w:insideV w:val="single" w:sz="5" w:space="0" w:color="C8D2D7"/>
        </w:tblBorders>
      </w:tblPr>
      <w:tblGrid>
        <w:gridCol w:w="2656"/>
        <w:gridCol w:w="7184"/>
      </w:tblGrid>
      <w:tr>
        <w:trPr>
          <w:tblHeader w:val="true"/>
          <w:cantSplit/>
        </w:trPr>
        <w:tc>
          <w:tcPr>
            <w:tcW w:type="dxa" w:w="2656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  <w:shd w:fill="123044"/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FFFFFF"/>
                <w:sz w:val="17"/>
                <w:szCs w:val="17"/>
              </w:rPr>
              <w:t>Field</w:t>
            </w:r>
          </w:p>
        </w:tc>
        <w:tc>
          <w:tcPr>
            <w:tcW w:type="dxa" w:w="7184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  <w:shd w:fill="123044"/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FFFFFF"/>
                <w:sz w:val="17"/>
                <w:szCs w:val="17"/>
              </w:rPr>
              <w:t>Reopening on April 15, 2051</w:t>
            </w:r>
          </w:p>
        </w:tc>
      </w:tr>
      <w:tr>
        <w:trPr>
          <w:cantSplit/>
        </w:trPr>
        <w:tc>
          <w:tcPr>
            <w:tcW w:type="dxa" w:w="2656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1F2D33"/>
                <w:sz w:val="17"/>
                <w:szCs w:val="17"/>
              </w:rPr>
              <w:t>New proposal</w:t>
            </w:r>
          </w:p>
        </w:tc>
        <w:tc>
          <w:tcPr>
            <w:tcW w:type="dxa" w:w="7184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 w:val="0"/>
                <w:color w:val="1F2D33"/>
                <w:sz w:val="17"/>
                <w:szCs w:val="17"/>
              </w:rPr>
              <w:t>Search precedents without generating offers, at lower cost and with no access to open case files.</w:t>
            </w:r>
          </w:p>
        </w:tc>
      </w:tr>
      <w:tr>
        <w:trPr>
          <w:cantSplit/>
        </w:trPr>
        <w:tc>
          <w:tcPr>
            <w:tcW w:type="dxa" w:w="2656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  <w:shd w:fill="EFF2F3"/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1F2D33"/>
                <w:sz w:val="17"/>
                <w:szCs w:val="17"/>
              </w:rPr>
              <w:t>Test scope</w:t>
            </w:r>
          </w:p>
        </w:tc>
        <w:tc>
          <w:tcPr>
            <w:tcW w:type="dxa" w:w="7184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  <w:shd w:fill="EFF2F3"/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 w:val="0"/>
                <w:color w:val="1F2D33"/>
                <w:sz w:val="17"/>
                <w:szCs w:val="17"/>
              </w:rPr>
              <w:t>New shadow test on closed cases; no purchase authorized and no external effect.</w:t>
            </w:r>
          </w:p>
        </w:tc>
      </w:tr>
      <w:tr>
        <w:trPr>
          <w:cantSplit/>
        </w:trPr>
        <w:tc>
          <w:tcPr>
            <w:tcW w:type="dxa" w:w="2656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1F2D33"/>
                <w:sz w:val="17"/>
                <w:szCs w:val="17"/>
              </w:rPr>
              <w:t>Evidence and costs</w:t>
            </w:r>
          </w:p>
        </w:tc>
        <w:tc>
          <w:tcPr>
            <w:tcW w:type="dxa" w:w="7184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 w:val="0"/>
                <w:color w:val="1F2D33"/>
                <w:sz w:val="17"/>
                <w:szCs w:val="17"/>
              </w:rPr>
              <w:t>Waiting time, late corrections, margin, expert hours, oversight, training, and apprenticeship remain in the same account.</w:t>
            </w:r>
          </w:p>
        </w:tc>
      </w:tr>
      <w:tr>
        <w:trPr>
          <w:cantSplit/>
        </w:trPr>
        <w:tc>
          <w:tcPr>
            <w:tcW w:type="dxa" w:w="2656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  <w:shd w:fill="EFF2F3"/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1F2D33"/>
                <w:sz w:val="17"/>
                <w:szCs w:val="17"/>
              </w:rPr>
              <w:t>Threshold and stopping</w:t>
            </w:r>
          </w:p>
        </w:tc>
        <w:tc>
          <w:tcPr>
            <w:tcW w:type="dxa" w:w="7184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  <w:shd w:fill="EFF2F3"/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 w:val="0"/>
                <w:color w:val="1F2D33"/>
                <w:sz w:val="17"/>
                <w:szCs w:val="17"/>
              </w:rPr>
              <w:t>The success criterion, responsible person, and stop authority are fixed before launch; the test can be stopped without purchasing the system.</w:t>
            </w:r>
          </w:p>
        </w:tc>
      </w:tr>
      <w:tr>
        <w:trPr>
          <w:cantSplit/>
        </w:trPr>
        <w:tc>
          <w:tcPr>
            <w:tcW w:type="dxa" w:w="2656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1F2D33"/>
                <w:sz w:val="17"/>
                <w:szCs w:val="17"/>
              </w:rPr>
              <w:t>Decision</w:t>
            </w:r>
          </w:p>
        </w:tc>
        <w:tc>
          <w:tcPr>
            <w:tcW w:type="dxa" w:w="7184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 w:val="0"/>
                <w:color w:val="1F2D33"/>
                <w:sz w:val="17"/>
                <w:szCs w:val="17"/>
              </w:rPr>
              <w:t>Reopening the comparison does not revoke the first no. At the end, Do not delegate and the concrete possibility of saying no again remain available.</w:t>
            </w:r>
          </w:p>
        </w:tc>
      </w:tr>
    </w:tbl>
    <w:p>
      <w:pPr>
        <w:spacing w:after="0"/>
      </w:pPr>
    </w:p>
    <w:p>
      <w:pPr>
        <w:pStyle w:val="Heading1"/>
        <w:spacing w:line="460" w:lineRule="exact"/>
      </w:pPr>
      <w:r>
        <w:t>Transferable criterion</w:t>
        <w:rPr>
          <w:rFonts w:ascii="EB Garamond" w:hAnsi="EB Garamond" w:eastAsia="EB Garamond" w:cs="EB Garamond"/>
          <w:sz w:val="40"/>
          <w:szCs w:val="40"/>
          <w:color w:val="183445"/>
        </w:rPr>
      </w:r>
    </w:p>
    <w:tbl>
      <w:tblPr>
        <w:tblW w:type="dxa" w:w="9840"/>
        <w:jc w:val="left"/>
        <w:tblLayout w:type="fixed"/>
        <w:tblLook w:firstColumn="1" w:firstRow="1" w:lastColumn="0" w:lastRow="0" w:noHBand="0" w:noVBand="1" w:val="04A0"/>
        <w:tblInd w:w="150" w:type="dxa"/>
        <w:tblBorders>
          <w:top w:val="single" w:sz="7" w:space="0" w:color="B54B2A"/>
          <w:left w:val="single" w:sz="7" w:space="0" w:color="B54B2A"/>
          <w:bottom w:val="single" w:sz="7" w:space="0" w:color="B54B2A"/>
          <w:right w:val="single" w:sz="7" w:space="0" w:color="B54B2A"/>
          <w:insideH w:val="single" w:sz="7" w:space="0" w:color="B54B2A"/>
          <w:insideV w:val="single" w:sz="7" w:space="0" w:color="B54B2A"/>
        </w:tblBorders>
      </w:tblPr>
      <w:tblGrid>
        <w:gridCol w:w="9840"/>
      </w:tblGrid>
      <w:tr>
        <w:trPr>
          <w:cantSplit/>
        </w:trPr>
        <w:tc>
          <w:tcPr>
            <w:tcW w:type="dxa" w:w="9840"/>
            <w:shd w:fill="F7E7E0"/>
            <w:tcMar>
              <w:top w:w="120" w:type="dxa"/>
              <w:start w:w="150" w:type="dxa"/>
              <w:bottom w:w="120" w:type="dxa"/>
              <w:end w:w="150" w:type="dxa"/>
            </w:tcMar>
          </w:tcPr>
          <w:p>
            <w:pPr>
              <w:spacing w:after="40" w:line="210" w:lineRule="exact"/>
            </w:pPr>
            <w:r>
              <w:rPr>
                <w:rFonts w:ascii="EB Garamond" w:hAnsi="EB Garamond" w:eastAsia="EB Garamond" w:cs="EB Garamond"/>
                <w:b/>
                <w:color w:val="B04A35"/>
                <w:sz w:val="17"/>
                <w:szCs w:val="17"/>
              </w:rPr>
              <w:t xml:space="preserve">THE POINT OF THE CASE  </w:t>
            </w:r>
            <w:r>
              <w:rPr>
                <w:rFonts w:ascii="EB Garamond" w:hAnsi="EB Garamond" w:eastAsia="EB Garamond" w:cs="EB Garamond"/>
                <w:color w:val="1F2D33"/>
                <w:sz w:val="17"/>
                <w:szCs w:val="17"/>
              </w:rPr>
              <w:t>A useful product can still leave too little benefit to justify oversight and dependence in a particular process, including the work of exiting the service. Where a better organizational alternative exists, Do not delegate records the refusal of that power at that time. Keep the reasons and costs visible so the decision can be reopened.</w:t>
            </w:r>
          </w:p>
        </w:tc>
      </w:tr>
    </w:tbl>
    <w:p>
      <w:pPr>
        <w:spacing w:after="0"/>
      </w:pPr>
    </w:p>
    <w:p>
      <w:pPr>
        <w:pStyle w:val="Heading2"/>
        <w:spacing w:line="360" w:lineRule="exact"/>
      </w:pPr>
      <w:r>
        <w:t>Questions for transferring the case</w:t>
        <w:rPr>
          <w:rFonts w:ascii="EB Garamond" w:hAnsi="EB Garamond" w:eastAsia="EB Garamond" w:cs="EB Garamond"/>
          <w:sz w:val="30"/>
          <w:szCs w:val="30"/>
          <w:color w:val="B04A35"/>
        </w:rPr>
      </w:r>
    </w:p>
    <w:tbl>
      <w:tblPr>
        <w:tblW w:type="dxa" w:w="9840"/>
        <w:jc w:val="left"/>
        <w:tblLayout w:type="fixed"/>
        <w:tblLook w:firstColumn="1" w:firstRow="1" w:lastColumn="0" w:lastRow="0" w:noHBand="0" w:noVBand="1" w:val="04A0"/>
        <w:tblInd w:w="120" w:type="dxa"/>
        <w:tblBorders>
          <w:top w:val="single" w:sz="5" w:space="0" w:color="C8D2D7"/>
          <w:left w:val="single" w:sz="5" w:space="0" w:color="C8D2D7"/>
          <w:bottom w:val="single" w:sz="5" w:space="0" w:color="C8D2D7"/>
          <w:right w:val="single" w:sz="5" w:space="0" w:color="C8D2D7"/>
          <w:insideH w:val="single" w:sz="5" w:space="0" w:color="C8D2D7"/>
          <w:insideV w:val="single" w:sz="5" w:space="0" w:color="C8D2D7"/>
        </w:tblBorders>
      </w:tblPr>
      <w:tblGrid>
        <w:gridCol w:w="4822"/>
        <w:gridCol w:w="5018"/>
      </w:tblGrid>
      <w:tr>
        <w:trPr>
          <w:tblHeader w:val="true"/>
          <w:cantSplit/>
        </w:trPr>
        <w:tc>
          <w:tcPr>
            <w:tcW w:type="dxa" w:w="4822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  <w:shd w:fill="123044"/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FFFFFF"/>
                <w:sz w:val="17"/>
                <w:szCs w:val="17"/>
              </w:rPr>
              <w:t>Question</w:t>
            </w:r>
          </w:p>
        </w:tc>
        <w:tc>
          <w:tcPr>
            <w:tcW w:type="dxa" w:w="5018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  <w:shd w:fill="123044"/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FFFFFF"/>
                <w:sz w:val="17"/>
                <w:szCs w:val="17"/>
              </w:rPr>
              <w:t>Evidence to seek in your own context</w:t>
            </w:r>
          </w:p>
        </w:tc>
      </w:tr>
      <w:tr>
        <w:trPr>
          <w:cantSplit/>
          <w:trHeight w:val="520" w:hRule="atLeast"/>
        </w:trPr>
        <w:tc>
          <w:tcPr>
            <w:tcW w:type="dxa" w:w="4822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1F2D33"/>
                <w:sz w:val="17"/>
                <w:szCs w:val="17"/>
              </w:rPr>
              <w:t>Does the success criterion measure the need or only the volume produced?</w:t>
            </w:r>
          </w:p>
        </w:tc>
        <w:tc>
          <w:tcPr>
            <w:tcW w:type="dxa" w:w="5018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 w:line="259" w:lineRule="auto"/>
            </w:pPr>
            <w:r>
              <w:rPr>
                <w:rFonts w:ascii="EB Garamond" w:hAnsi="EB Garamond" w:eastAsia="EB Garamond" w:cs="EB Garamond"/>
                <w:b w:val="0"/>
                <w:color w:val="1F2D33"/>
                <w:sz w:val="17"/>
                <w:szCs w:val="17"/>
              </w:rPr>
            </w:r>
          </w:p>
        </w:tc>
      </w:tr>
      <w:tr>
        <w:trPr>
          <w:cantSplit/>
          <w:trHeight w:val="520" w:hRule="atLeast"/>
        </w:trPr>
        <w:tc>
          <w:tcPr>
            <w:tcW w:type="dxa" w:w="4822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  <w:shd w:fill="EFF2F3"/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1F2D33"/>
                <w:sz w:val="17"/>
                <w:szCs w:val="17"/>
              </w:rPr>
              <w:t>Which power must remain in Assists or Proposes mode?</w:t>
            </w:r>
          </w:p>
        </w:tc>
        <w:tc>
          <w:tcPr>
            <w:tcW w:type="dxa" w:w="5018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  <w:shd w:fill="EFF2F3"/>
          </w:tcPr>
          <w:p>
            <w:pPr>
              <w:spacing w:after="0" w:line="259" w:lineRule="auto"/>
            </w:pPr>
            <w:r>
              <w:rPr>
                <w:rFonts w:ascii="EB Garamond" w:hAnsi="EB Garamond" w:eastAsia="EB Garamond" w:cs="EB Garamond"/>
                <w:b w:val="0"/>
                <w:color w:val="1F2D33"/>
                <w:sz w:val="17"/>
                <w:szCs w:val="17"/>
              </w:rPr>
            </w:r>
          </w:p>
        </w:tc>
      </w:tr>
      <w:tr>
        <w:trPr>
          <w:cantSplit/>
          <w:trHeight w:val="520" w:hRule="atLeast"/>
        </w:trPr>
        <w:tc>
          <w:tcPr>
            <w:tcW w:type="dxa" w:w="4822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1F2D33"/>
                <w:sz w:val="17"/>
                <w:szCs w:val="17"/>
              </w:rPr>
              <w:t>Who pays for oversight, training, waiting, and exit?</w:t>
            </w:r>
          </w:p>
        </w:tc>
        <w:tc>
          <w:tcPr>
            <w:tcW w:type="dxa" w:w="5018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 w:line="259" w:lineRule="auto"/>
            </w:pPr>
            <w:r>
              <w:rPr>
                <w:rFonts w:ascii="EB Garamond" w:hAnsi="EB Garamond" w:eastAsia="EB Garamond" w:cs="EB Garamond"/>
                <w:b w:val="0"/>
                <w:color w:val="1F2D33"/>
                <w:sz w:val="17"/>
                <w:szCs w:val="17"/>
              </w:rPr>
            </w:r>
          </w:p>
        </w:tc>
      </w:tr>
      <w:tr>
        <w:trPr>
          <w:cantSplit/>
          <w:trHeight w:val="520" w:hRule="atLeast"/>
        </w:trPr>
        <w:tc>
          <w:tcPr>
            <w:tcW w:type="dxa" w:w="4822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  <w:shd w:fill="EFF2F3"/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1F2D33"/>
                <w:sz w:val="17"/>
                <w:szCs w:val="17"/>
              </w:rPr>
              <w:t>Which plausible error is elegant, convincing, and wrong at the decisive point?</w:t>
            </w:r>
          </w:p>
        </w:tc>
        <w:tc>
          <w:tcPr>
            <w:tcW w:type="dxa" w:w="5018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  <w:shd w:fill="EFF2F3"/>
          </w:tcPr>
          <w:p>
            <w:pPr>
              <w:spacing w:after="0" w:line="259" w:lineRule="auto"/>
            </w:pPr>
            <w:r>
              <w:rPr>
                <w:rFonts w:ascii="EB Garamond" w:hAnsi="EB Garamond" w:eastAsia="EB Garamond" w:cs="EB Garamond"/>
                <w:b w:val="0"/>
                <w:color w:val="1F2D33"/>
                <w:sz w:val="17"/>
                <w:szCs w:val="17"/>
              </w:rPr>
            </w:r>
          </w:p>
        </w:tc>
      </w:tr>
      <w:tr>
        <w:trPr>
          <w:cantSplit/>
          <w:trHeight w:val="520" w:hRule="atLeast"/>
        </w:trPr>
        <w:tc>
          <w:tcPr>
            <w:tcW w:type="dxa" w:w="4822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1F2D33"/>
                <w:sz w:val="17"/>
                <w:szCs w:val="17"/>
              </w:rPr>
              <w:t>Does the exit test also reconstruct configurations and permissions?</w:t>
            </w:r>
          </w:p>
        </w:tc>
        <w:tc>
          <w:tcPr>
            <w:tcW w:type="dxa" w:w="5018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 w:line="259" w:lineRule="auto"/>
            </w:pPr>
            <w:r>
              <w:rPr>
                <w:rFonts w:ascii="EB Garamond" w:hAnsi="EB Garamond" w:eastAsia="EB Garamond" w:cs="EB Garamond"/>
                <w:b w:val="0"/>
                <w:color w:val="1F2D33"/>
                <w:sz w:val="17"/>
                <w:szCs w:val="17"/>
              </w:rPr>
            </w:r>
          </w:p>
        </w:tc>
      </w:tr>
      <w:tr>
        <w:trPr>
          <w:cantSplit/>
          <w:trHeight w:val="520" w:hRule="atLeast"/>
        </w:trPr>
        <w:tc>
          <w:tcPr>
            <w:tcW w:type="dxa" w:w="4822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  <w:shd w:fill="EFF2F3"/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1F2D33"/>
                <w:sz w:val="17"/>
                <w:szCs w:val="17"/>
              </w:rPr>
              <w:t>Which organizational alternative addresses the same need?</w:t>
            </w:r>
          </w:p>
        </w:tc>
        <w:tc>
          <w:tcPr>
            <w:tcW w:type="dxa" w:w="5018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  <w:shd w:fill="EFF2F3"/>
          </w:tcPr>
          <w:p>
            <w:pPr>
              <w:spacing w:after="0" w:line="259" w:lineRule="auto"/>
            </w:pPr>
            <w:r>
              <w:rPr>
                <w:rFonts w:ascii="EB Garamond" w:hAnsi="EB Garamond" w:eastAsia="EB Garamond" w:cs="EB Garamond"/>
                <w:b w:val="0"/>
                <w:color w:val="1F2D33"/>
                <w:sz w:val="17"/>
                <w:szCs w:val="17"/>
              </w:rPr>
            </w:r>
          </w:p>
        </w:tc>
      </w:tr>
      <w:tr>
        <w:trPr>
          <w:cantSplit/>
          <w:trHeight w:val="520" w:hRule="atLeast"/>
        </w:trPr>
        <w:tc>
          <w:tcPr>
            <w:tcW w:type="dxa" w:w="4822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1F2D33"/>
                <w:sz w:val="17"/>
                <w:szCs w:val="17"/>
              </w:rPr>
              <w:t>What change would justify reopening without erasing the first no?</w:t>
            </w:r>
          </w:p>
        </w:tc>
        <w:tc>
          <w:tcPr>
            <w:tcW w:type="dxa" w:w="5018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 w:line="259" w:lineRule="auto"/>
            </w:pPr>
            <w:r>
              <w:rPr>
                <w:rFonts w:ascii="EB Garamond" w:hAnsi="EB Garamond" w:eastAsia="EB Garamond" w:cs="EB Garamond"/>
                <w:b w:val="0"/>
                <w:color w:val="1F2D33"/>
                <w:sz w:val="17"/>
                <w:szCs w:val="17"/>
              </w:rPr>
            </w:r>
          </w:p>
        </w:tc>
      </w:tr>
    </w:tbl>
    <w:p>
      <w:pPr>
        <w:spacing w:after="0"/>
      </w:pPr>
    </w:p>
    <w:sectPr>
      <w:headerReference w:type="default" r:id="rId9"/>
      <w:footerReference w:type="default" r:id="rId10"/>
      <w:footerReference w:type="first" r:id="rId11"/>
      <w:headerReference w:type="first" r:id="rId14"/>
      <w:pgSz w:w="11905" w:h="16838"/>
      <w:pgMar w:top="1008" w:right="1008" w:bottom="1008" w:left="1008" w:header="432" w:footer="432" w:gutter="0"/>
      <w:cols w:space="720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EB Garamond">
    <w:altName w:val="Garamond"/>
    <w:charset w:val="00"/>
    <w:family w:val="auto"/>
    <w:pitch w:val="variable"/>
    <w:sig w:usb0="E00002FF" w:usb1="02000413" w:usb2="00000000" w:usb3="00000000" w:csb0="0000019F" w:csb1="00000000"/>
    <w:embedRegular r:id="rId1" w:fontKey="{8803E84C-4695-4705-838C-D4FC599F85E4}"/>
    <w:embedBold r:id="rId2" w:fontKey="{34828F21-0C39-43B1-A4DE-E08636D6C3A3}"/>
    <w:embedItalic r:id="rId3" w:fontKey="{16841129-51C1-4C09-BE4D-4D07B4C2C00A}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tabs>
        <w:tab w:pos="9720" w:val="left"/>
      </w:tabs>
      <w:spacing w:before="0" w:after="0" w:line="200" w:lineRule="exact"/>
    </w:pPr>
    <w:r>
      <w:rPr>
        <w:rFonts w:ascii="EB Garamond" w:hAnsi="EB Garamond" w:eastAsia="EB Garamond" w:cs="EB Garamond"/>
        <w:color w:val="65757D"/>
        <w:sz w:val="16"/>
        <w:szCs w:val="16"/>
      </w:rPr>
      <w:t>2050 - EN-US-R2.3 - Documentary snapshot July 2026</w:t>
    </w:r>
    <w:r>
      <w:tab/>
      <w:rPr>
        <w:rFonts w:ascii="EB Garamond" w:hAnsi="EB Garamond" w:eastAsia="EB Garamond" w:cs="EB Garamond"/>
        <w:sz w:val="16"/>
        <w:szCs w:val="16"/>
        <w:color w:val="65757D"/>
      </w:rPr>
    </w:r>
    <w:r>
      <w:rPr>
        <w:rFonts w:ascii="EB Garamond" w:hAnsi="EB Garamond" w:eastAsia="EB Garamond" w:cs="EB Garamond"/>
        <w:color w:val="65757D"/>
        <w:sz w:val="16"/>
        <w:szCs w:val="16"/>
      </w:rPr>
      <w:fldChar w:fldCharType="begin"/>
      <w:instrText xml:space="preserve"> PAGE </w:instrText>
      <w:fldChar w:fldCharType="separate"/>
      <w:t>1</w:t>
      <w:fldChar w:fldCharType="end"/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  <w:spacing w:line="200" w:lineRule="exact"/>
    </w:pPr>
    <w:r>
      <w:rPr>
        <w:rFonts w:ascii="EB Garamond" w:hAnsi="EB Garamond" w:eastAsia="EB Garamond" w:cs="EB Garamond"/>
        <w:color w:val="65757D"/>
        <w:sz w:val="16"/>
        <w:szCs w:val="16"/>
      </w:rPr>
      <w:t>https://www.corneritaliano.com/en/2050/resources/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 w:line="200" w:lineRule="exact"/>
      <w:jc w:val="left"/>
    </w:pPr>
    <w:r>
      <w:rPr>
        <w:rFonts w:ascii="EB Garamond" w:hAnsi="EB Garamond" w:eastAsia="EB Garamond" w:cs="EB Garamond"/>
        <w:b/>
        <w:color w:val="65757D"/>
        <w:sz w:val="16"/>
        <w:szCs w:val="16"/>
      </w:rPr>
      <w:t xml:space="preserve">2050  |  OFFICIAL RESOURCES  |  </w:t>
    </w:r>
    <w:r>
      <w:rPr>
        <w:rFonts w:ascii="EB Garamond" w:hAnsi="EB Garamond" w:eastAsia="EB Garamond" w:cs="EB Garamond"/>
        <w:color w:val="65757D"/>
        <w:sz w:val="16"/>
        <w:szCs w:val="16"/>
      </w:rPr>
      <w:t>Davide Case - Full Record</w:t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EB Garamond" w:hAnsi="EB Garamond" w:eastAsia="EB Garamond" w:cs="EB Garamond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EB Garamond" w:hAnsi="EB Garamond" w:eastAsia="EB Garamond" w:cs="EB Garamond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EB Garamond" w:hAnsi="EB Garamond" w:eastAsia="EB Garamond" w:cs="EB Garamond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EB Garamond" w:hAnsi="EB Garamond" w:eastAsia="EB Garamond" w:cs="EB Garamond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  <w:embedTrueTypeFonts/>
  <w:saveSubsetFonts w:val="fals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EB Garamond" w:hAnsi="EB Garamond" w:eastAsia="EB Garamond" w:cs="EB Garamond"/>
        <w:sz w:val="21"/>
        <w:szCs w:val="21"/>
        <w:lang w:val="en-US" w:eastAsia="en-US" w:bidi="ar-SA"/>
        <w:color w:val="1F2D33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widowControl/>
      <w:spacing w:before="0" w:after="100" w:line="270" w:lineRule="exact"/>
    </w:pPr>
    <w:rPr>
      <w:rFonts w:ascii="EB Garamond" w:hAnsi="EB Garamond" w:eastAsia="EB Garamond" w:cs="EB Garamond"/>
      <w:color w:val="1F2D33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rFonts w:ascii="EB Garamond" w:hAnsi="EB Garamond" w:eastAsia="EB Garamond" w:cs="EB Garamond"/>
      <w:sz w:val="16"/>
      <w:szCs w:val="16"/>
      <w:color w:val="65757D"/>
    </w:rPr>
  </w:style>
  <w:style w:type="character" w:customStyle="1" w:styleId="HeaderChar">
    <w:name w:val="Header Char"/>
    <w:basedOn w:val="DefaultParagraphFont"/>
    <w:link w:val="Header"/>
    <w:uiPriority w:val="99"/>
    <w:rsid w:val="00E618BF"/>
    <w:rPr>
      <w:rFonts w:ascii="EB Garamond" w:hAnsi="EB Garamond" w:eastAsia="EB Garamond" w:cs="EB Garamond"/>
    </w:r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rFonts w:ascii="EB Garamond" w:hAnsi="EB Garamond" w:eastAsia="EB Garamond" w:cs="EB Garamond"/>
      <w:sz w:val="16"/>
      <w:szCs w:val="16"/>
      <w:color w:val="65757D"/>
    </w:rPr>
  </w:style>
  <w:style w:type="character" w:customStyle="1" w:styleId="FooterChar">
    <w:name w:val="Footer Char"/>
    <w:basedOn w:val="DefaultParagraphFont"/>
    <w:link w:val="Footer"/>
    <w:uiPriority w:val="99"/>
    <w:rsid w:val="00E618BF"/>
    <w:rPr>
      <w:rFonts w:ascii="EB Garamond" w:hAnsi="EB Garamond" w:eastAsia="EB Garamond" w:cs="EB Garamond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="EB Garamond" w:hAnsi="EB Garamond" w:eastAsia="EB Garamond" w:cs="EB Garamond"/>
      <w:b/>
      <w:bCs/>
      <w:color w:val="183445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="EB Garamond" w:hAnsi="EB Garamond" w:eastAsia="EB Garamond" w:cs="EB Garamond"/>
      <w:b/>
      <w:bCs/>
      <w:color w:val="B04A35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 w:after="80"/>
      <w:outlineLvl w:val="2"/>
    </w:pPr>
    <w:rPr>
      <w:rFonts w:ascii="EB Garamond" w:hAnsi="EB Garamond" w:eastAsia="EB Garamond" w:cs="EB Garamond"/>
      <w:b/>
      <w:bCs/>
      <w:color w:val="183445"/>
      <w:sz w:val="23"/>
      <w:szCs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EB Garamond" w:hAnsi="EB Garamond" w:eastAsia="EB Garamond" w:cs="EB Garamond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EB Garamond" w:hAnsi="EB Garamond" w:eastAsia="EB Garamond" w:cs="EB Garamond"/>
      <w:color w:val="243F6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EB Garamond" w:hAnsi="EB Garamond" w:eastAsia="EB Garamond" w:cs="EB Garamond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EB Garamond" w:hAnsi="EB Garamond" w:eastAsia="EB Garamond" w:cs="EB Garamond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EB Garamond" w:hAnsi="EB Garamond" w:eastAsia="EB Garamond" w:cs="EB Garamond"/>
      <w:color w:val="4F81BD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EB Garamond" w:hAnsi="EB Garamond" w:eastAsia="EB Garamond" w:cs="EB Garamond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  <w:rPr>
      <w:rFonts w:ascii="EB Garamond" w:hAnsi="EB Garamond" w:eastAsia="EB Garamond" w:cs="EB Garamond"/>
    </w:rPr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rPr>
      <w:rFonts w:ascii="EB Garamond" w:hAnsi="EB Garamond" w:eastAsia="EB Garamond" w:cs="EB Garamond"/>
    </w:rPr>
  </w:style>
  <w:style w:type="numbering" w:default="1" w:styleId="NoList">
    <w:name w:val="No List"/>
    <w:uiPriority w:val="99"/>
    <w:semiHidden/>
    <w:unhideWhenUsed/>
    <w:rPr>
      <w:rFonts w:ascii="EB Garamond" w:hAnsi="EB Garamond" w:eastAsia="EB Garamond" w:cs="EB Garamond"/>
    </w:rPr>
  </w:style>
  <w:style w:type="paragraph" w:styleId="NoSpacing">
    <w:name w:val="No Spacing"/>
    <w:uiPriority w:val="1"/>
    <w:qFormat/>
    <w:rsid w:val="00FC693F"/>
    <w:pPr>
      <w:spacing w:after="0" w:line="240" w:lineRule="auto"/>
    </w:pPr>
    <w:rPr>
      <w:rFonts w:ascii="EB Garamond" w:hAnsi="EB Garamond" w:eastAsia="EB Garamond" w:cs="EB Garamond"/>
    </w:r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="EB Garamond" w:hAnsi="EB Garamond" w:eastAsia="EB Garamond" w:cs="EB Garamond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="EB Garamond" w:hAnsi="EB Garamond" w:eastAsia="EB Garamond" w:cs="EB Garamond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="EB Garamond" w:hAnsi="EB Garamond" w:eastAsia="EB Garamond" w:cs="EB Garamond"/>
      <w:b/>
      <w:bCs/>
      <w:color w:val="4F81BD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pBdr>
        <w:bottom w:val="single" w:sz="8" w:space="4" w:color="4F81BD" w:themeColor="accent1"/>
      </w:pBdr>
      <w:spacing w:after="160" w:line="240" w:lineRule="auto" w:before="0"/>
      <w:contextualSpacing/>
    </w:pPr>
    <w:rPr>
      <w:rFonts w:ascii="EB Garamond" w:hAnsi="EB Garamond" w:eastAsia="EB Garamond" w:cs="EB Garamond"/>
      <w:b/>
      <w:color w:val="183445"/>
      <w:spacing w:val="5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="EB Garamond" w:hAnsi="EB Garamond" w:eastAsia="EB Garamond" w:cs="EB Garamond"/>
      <w:color w:val="17365D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keepNext/>
      <w:numPr>
        <w:ilvl w:val="1"/>
      </w:numPr>
      <w:spacing w:before="0" w:after="240"/>
    </w:pPr>
    <w:rPr>
      <w:rFonts w:ascii="EB Garamond" w:hAnsi="EB Garamond" w:eastAsia="EB Garamond" w:cs="EB Garamond"/>
      <w:b w:val="0"/>
      <w:i/>
      <w:iCs/>
      <w:color w:val="5A686F"/>
      <w:spacing w:val="15"/>
      <w:sz w:val="26"/>
      <w:szCs w:val="26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="EB Garamond" w:hAnsi="EB Garamond" w:eastAsia="EB Garamond" w:cs="EB Garamond"/>
      <w:i/>
      <w:iCs/>
      <w:color w:val="4F81BD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  <w:rPr>
      <w:rFonts w:ascii="EB Garamond" w:hAnsi="EB Garamond" w:eastAsia="EB Garamond" w:cs="EB Garamond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  <w:rPr>
      <w:rFonts w:ascii="EB Garamond" w:hAnsi="EB Garamond" w:eastAsia="EB Garamond" w:cs="EB Garamond"/>
    </w:rPr>
  </w:style>
  <w:style w:type="character" w:customStyle="1" w:styleId="BodyTextChar">
    <w:name w:val="Body Text Char"/>
    <w:basedOn w:val="DefaultParagraphFont"/>
    <w:link w:val="BodyText"/>
    <w:uiPriority w:val="99"/>
    <w:rsid w:val="00AA1D8D"/>
    <w:rPr>
      <w:rFonts w:ascii="EB Garamond" w:hAnsi="EB Garamond" w:eastAsia="EB Garamond" w:cs="EB Garamond"/>
    </w:rPr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  <w:rPr>
      <w:rFonts w:ascii="EB Garamond" w:hAnsi="EB Garamond" w:eastAsia="EB Garamond" w:cs="EB Garamond"/>
    </w:rPr>
  </w:style>
  <w:style w:type="character" w:customStyle="1" w:styleId="BodyText2Char">
    <w:name w:val="Body Text 2 Char"/>
    <w:basedOn w:val="DefaultParagraphFont"/>
    <w:link w:val="BodyText2"/>
    <w:uiPriority w:val="99"/>
    <w:rsid w:val="00AA1D8D"/>
    <w:rPr>
      <w:rFonts w:ascii="EB Garamond" w:hAnsi="EB Garamond" w:eastAsia="EB Garamond" w:cs="EB Garamond"/>
    </w:rPr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  <w:rFonts w:ascii="EB Garamond" w:hAnsi="EB Garamond" w:eastAsia="EB Garamond" w:cs="EB Garamond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  <w:rFonts w:ascii="EB Garamond" w:hAnsi="EB Garamond" w:eastAsia="EB Garamond" w:cs="EB Garamond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  <w:rPr>
      <w:rFonts w:ascii="EB Garamond" w:hAnsi="EB Garamond" w:eastAsia="EB Garamond" w:cs="EB Garamond"/>
    </w:r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  <w:rPr>
      <w:rFonts w:ascii="EB Garamond" w:hAnsi="EB Garamond" w:eastAsia="EB Garamond" w:cs="EB Garamond"/>
    </w:r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  <w:rPr>
      <w:rFonts w:ascii="EB Garamond" w:hAnsi="EB Garamond" w:eastAsia="EB Garamond" w:cs="EB Garamond"/>
    </w:r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  <w:rPr>
      <w:rFonts w:ascii="EB Garamond" w:hAnsi="EB Garamond" w:eastAsia="EB Garamond" w:cs="EB Garamond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  <w:rPr>
      <w:rFonts w:ascii="EB Garamond" w:hAnsi="EB Garamond" w:eastAsia="EB Garamond" w:cs="EB Garamond"/>
    </w:r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  <w:rPr>
      <w:rFonts w:ascii="EB Garamond" w:hAnsi="EB Garamond" w:eastAsia="EB Garamond" w:cs="EB Garamond"/>
    </w:r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  <w:rPr>
      <w:rFonts w:ascii="EB Garamond" w:hAnsi="EB Garamond" w:eastAsia="EB Garamond" w:cs="EB Garamond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  <w:rPr>
      <w:rFonts w:ascii="EB Garamond" w:hAnsi="EB Garamond" w:eastAsia="EB Garamond" w:cs="EB Garamond"/>
    </w:r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  <w:rPr>
      <w:rFonts w:ascii="EB Garamond" w:hAnsi="EB Garamond" w:eastAsia="EB Garamond" w:cs="EB Garamond"/>
    </w:r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  <w:rPr>
      <w:rFonts w:ascii="EB Garamond" w:hAnsi="EB Garamond" w:eastAsia="EB Garamond" w:cs="EB Garamond"/>
    </w:r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  <w:rPr>
      <w:rFonts w:ascii="EB Garamond" w:hAnsi="EB Garamond" w:eastAsia="EB Garamond" w:cs="EB Garamond"/>
    </w:r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  <w:rPr>
      <w:rFonts w:ascii="EB Garamond" w:hAnsi="EB Garamond" w:eastAsia="EB Garamond" w:cs="EB Garamond"/>
    </w:r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EB Garamond" w:hAnsi="EB Garamond" w:eastAsia="EB Garamond" w:cs="EB Garamond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EB Garamond" w:hAnsi="EB Garamond" w:eastAsia="EB Garamond" w:cs="EB Garamond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/>
      <w:rFonts w:ascii="EB Garamond" w:hAnsi="EB Garamond" w:eastAsia="EB Garamond" w:cs="EB Garamond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/>
      <w:rFonts w:ascii="EB Garamond" w:hAnsi="EB Garamond" w:eastAsia="EB Garamond" w:cs="EB Garamon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="EB Garamond" w:hAnsi="EB Garamond" w:eastAsia="EB Garamond" w:cs="EB Garamond"/>
      <w:b/>
      <w:bCs/>
      <w:i/>
      <w:iCs/>
      <w:color w:val="4F81BD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="EB Garamond" w:hAnsi="EB Garamond" w:eastAsia="EB Garamond" w:cs="EB Garamond"/>
      <w:color w:val="243F6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="EB Garamond" w:hAnsi="EB Garamond" w:eastAsia="EB Garamond" w:cs="EB Garamond"/>
      <w:i/>
      <w:iCs/>
      <w:color w:val="243F6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="EB Garamond" w:hAnsi="EB Garamond" w:eastAsia="EB Garamond" w:cs="EB Garamond"/>
      <w:i/>
      <w:iCs/>
      <w:color w:val="40404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="EB Garamond" w:hAnsi="EB Garamond" w:eastAsia="EB Garamond" w:cs="EB Garamond"/>
      <w:color w:val="4F81BD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="EB Garamond" w:hAnsi="EB Garamond" w:eastAsia="EB Garamond" w:cs="EB Garamond"/>
      <w:i/>
      <w:iCs/>
      <w:color w:val="40404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/>
      <w:sz w:val="18"/>
      <w:szCs w:val="18"/>
      <w:rFonts w:ascii="EB Garamond" w:hAnsi="EB Garamond" w:eastAsia="EB Garamond" w:cs="EB Garamond"/>
    </w:rPr>
  </w:style>
  <w:style w:type="character" w:styleId="Strong">
    <w:name w:val="Strong"/>
    <w:basedOn w:val="DefaultParagraphFont"/>
    <w:uiPriority w:val="22"/>
    <w:qFormat/>
    <w:rsid w:val="00FC693F"/>
    <w:rPr>
      <w:b/>
      <w:bCs/>
      <w:rFonts w:ascii="EB Garamond" w:hAnsi="EB Garamond" w:eastAsia="EB Garamond" w:cs="EB Garamond"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  <w:rFonts w:ascii="EB Garamond" w:hAnsi="EB Garamond" w:eastAsia="EB Garamond" w:cs="EB Garamond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/>
      <w:rFonts w:ascii="EB Garamond" w:hAnsi="EB Garamond" w:eastAsia="EB Garamond" w:cs="EB Garamon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/>
      <w:rFonts w:ascii="EB Garamond" w:hAnsi="EB Garamond" w:eastAsia="EB Garamond" w:cs="EB Garamond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/>
      <w:rFonts w:ascii="EB Garamond" w:hAnsi="EB Garamond" w:eastAsia="EB Garamond" w:cs="EB Garamond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/>
      <w:rFonts w:ascii="EB Garamond" w:hAnsi="EB Garamond" w:eastAsia="EB Garamond" w:cs="EB Garamond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/>
      <w:u w:val="single"/>
      <w:rFonts w:ascii="EB Garamond" w:hAnsi="EB Garamond" w:eastAsia="EB Garamond" w:cs="EB Garamond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/>
      <w:spacing w:val="5"/>
      <w:u w:val="single"/>
      <w:rFonts w:ascii="EB Garamond" w:hAnsi="EB Garamond" w:eastAsia="EB Garamond" w:cs="EB Garamond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  <w:rFonts w:ascii="EB Garamond" w:hAnsi="EB Garamond" w:eastAsia="EB Garamond" w:cs="EB Garamon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  <w:rPr>
      <w:rFonts w:ascii="EB Garamond" w:hAnsi="EB Garamond" w:eastAsia="EB Garamond" w:cs="EB Garamond"/>
    </w:r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rPr>
      <w:rFonts w:ascii="EB Garamond" w:hAnsi="EB Garamond" w:eastAsia="EB Garamond" w:cs="EB Garamond"/>
    </w:r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/>
      <w:rFonts w:ascii="EB Garamond" w:hAnsi="EB Garamond" w:eastAsia="EB Garamond" w:cs="EB Garamond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/>
      <w:rFonts w:ascii="EB Garamond" w:hAnsi="EB Garamond" w:eastAsia="EB Garamond" w:cs="EB Garamond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/>
      <w:rFonts w:ascii="EB Garamond" w:hAnsi="EB Garamond" w:eastAsia="EB Garamond" w:cs="EB Garamond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/>
      <w:rFonts w:ascii="EB Garamond" w:hAnsi="EB Garamond" w:eastAsia="EB Garamond" w:cs="EB Garamond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/>
      <w:rFonts w:ascii="EB Garamond" w:hAnsi="EB Garamond" w:eastAsia="EB Garamond" w:cs="EB Garamond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/>
      <w:rFonts w:ascii="EB Garamond" w:hAnsi="EB Garamond" w:eastAsia="EB Garamond" w:cs="EB Garamond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/>
      <w:rFonts w:ascii="EB Garamond" w:hAnsi="EB Garamond" w:eastAsia="EB Garamond" w:cs="EB Garamond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rPr>
      <w:rFonts w:ascii="EB Garamond" w:hAnsi="EB Garamond" w:eastAsia="EB Garamond" w:cs="EB Garamond"/>
    </w:r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rPr>
      <w:rFonts w:ascii="EB Garamond" w:hAnsi="EB Garamond" w:eastAsia="EB Garamond" w:cs="EB Garamond"/>
    </w:r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rPr>
      <w:rFonts w:ascii="EB Garamond" w:hAnsi="EB Garamond" w:eastAsia="EB Garamond" w:cs="EB Garamond"/>
    </w:r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rPr>
      <w:rFonts w:ascii="EB Garamond" w:hAnsi="EB Garamond" w:eastAsia="EB Garamond" w:cs="EB Garamond"/>
    </w:r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rPr>
      <w:rFonts w:ascii="EB Garamond" w:hAnsi="EB Garamond" w:eastAsia="EB Garamond" w:cs="EB Garamond"/>
    </w:r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rPr>
      <w:rFonts w:ascii="EB Garamond" w:hAnsi="EB Garamond" w:eastAsia="EB Garamond" w:cs="EB Garamond"/>
    </w:r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rPr>
      <w:rFonts w:ascii="EB Garamond" w:hAnsi="EB Garamond" w:eastAsia="EB Garamond" w:cs="EB Garamond"/>
    </w:r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EB Garamond" w:hAnsi="EB Garamond" w:eastAsia="EB Garamond" w:cs="EB Garamond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EB Garamond" w:hAnsi="EB Garamond" w:eastAsia="EB Garamond" w:cs="EB Garamond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EB Garamond" w:hAnsi="EB Garamond" w:eastAsia="EB Garamond" w:cs="EB Garamond"/>
        <w:b/>
        <w:bCs/>
      </w:rPr>
    </w:tblStylePr>
    <w:tblStylePr w:type="lastCol">
      <w:rPr>
        <w:rFonts w:ascii="EB Garamond" w:hAnsi="EB Garamond" w:eastAsia="EB Garamond" w:cs="EB Garamond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  <w:rPr>
      <w:rFonts w:ascii="EB Garamond" w:hAnsi="EB Garamond" w:eastAsia="EB Garamond" w:cs="EB Garamond"/>
    </w:r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EB Garamond" w:hAnsi="EB Garamond" w:eastAsia="EB Garamond" w:cs="EB Garamond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EB Garamond" w:hAnsi="EB Garamond" w:eastAsia="EB Garamond" w:cs="EB Garamond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EB Garamond" w:hAnsi="EB Garamond" w:eastAsia="EB Garamond" w:cs="EB Garamond"/>
        <w:b/>
        <w:bCs/>
      </w:rPr>
    </w:tblStylePr>
    <w:tblStylePr w:type="lastCol">
      <w:rPr>
        <w:rFonts w:ascii="EB Garamond" w:hAnsi="EB Garamond" w:eastAsia="EB Garamond" w:cs="EB Garamond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  <w:rPr>
      <w:rFonts w:ascii="EB Garamond" w:hAnsi="EB Garamond" w:eastAsia="EB Garamond" w:cs="EB Garamond"/>
    </w:r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EB Garamond" w:hAnsi="EB Garamond" w:eastAsia="EB Garamond" w:cs="EB Garamond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EB Garamond" w:hAnsi="EB Garamond" w:eastAsia="EB Garamond" w:cs="EB Garamond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EB Garamond" w:hAnsi="EB Garamond" w:eastAsia="EB Garamond" w:cs="EB Garamond"/>
        <w:b/>
        <w:bCs/>
      </w:rPr>
    </w:tblStylePr>
    <w:tblStylePr w:type="lastCol">
      <w:rPr>
        <w:rFonts w:ascii="EB Garamond" w:hAnsi="EB Garamond" w:eastAsia="EB Garamond" w:cs="EB Garamond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  <w:rPr>
      <w:rFonts w:ascii="EB Garamond" w:hAnsi="EB Garamond" w:eastAsia="EB Garamond" w:cs="EB Garamond"/>
    </w:r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EB Garamond" w:hAnsi="EB Garamond" w:eastAsia="EB Garamond" w:cs="EB Garamond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EB Garamond" w:hAnsi="EB Garamond" w:eastAsia="EB Garamond" w:cs="EB Garamond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EB Garamond" w:hAnsi="EB Garamond" w:eastAsia="EB Garamond" w:cs="EB Garamond"/>
        <w:b/>
        <w:bCs/>
      </w:rPr>
    </w:tblStylePr>
    <w:tblStylePr w:type="lastCol">
      <w:rPr>
        <w:rFonts w:ascii="EB Garamond" w:hAnsi="EB Garamond" w:eastAsia="EB Garamond" w:cs="EB Garamond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  <w:rPr>
      <w:rFonts w:ascii="EB Garamond" w:hAnsi="EB Garamond" w:eastAsia="EB Garamond" w:cs="EB Garamond"/>
    </w:r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EB Garamond" w:hAnsi="EB Garamond" w:eastAsia="EB Garamond" w:cs="EB Garamond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EB Garamond" w:hAnsi="EB Garamond" w:eastAsia="EB Garamond" w:cs="EB Garamond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EB Garamond" w:hAnsi="EB Garamond" w:eastAsia="EB Garamond" w:cs="EB Garamond"/>
        <w:b/>
        <w:bCs/>
      </w:rPr>
    </w:tblStylePr>
    <w:tblStylePr w:type="lastCol">
      <w:rPr>
        <w:rFonts w:ascii="EB Garamond" w:hAnsi="EB Garamond" w:eastAsia="EB Garamond" w:cs="EB Garamond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  <w:rPr>
      <w:rFonts w:ascii="EB Garamond" w:hAnsi="EB Garamond" w:eastAsia="EB Garamond" w:cs="EB Garamond"/>
    </w:r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EB Garamond" w:hAnsi="EB Garamond" w:eastAsia="EB Garamond" w:cs="EB Garamond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EB Garamond" w:hAnsi="EB Garamond" w:eastAsia="EB Garamond" w:cs="EB Garamond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EB Garamond" w:hAnsi="EB Garamond" w:eastAsia="EB Garamond" w:cs="EB Garamond"/>
        <w:b/>
        <w:bCs/>
      </w:rPr>
    </w:tblStylePr>
    <w:tblStylePr w:type="lastCol">
      <w:rPr>
        <w:rFonts w:ascii="EB Garamond" w:hAnsi="EB Garamond" w:eastAsia="EB Garamond" w:cs="EB Garamond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  <w:rPr>
      <w:rFonts w:ascii="EB Garamond" w:hAnsi="EB Garamond" w:eastAsia="EB Garamond" w:cs="EB Garamond"/>
    </w:r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EB Garamond" w:hAnsi="EB Garamond" w:eastAsia="EB Garamond" w:cs="EB Garamond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EB Garamond" w:hAnsi="EB Garamond" w:eastAsia="EB Garamond" w:cs="EB Garamond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EB Garamond" w:hAnsi="EB Garamond" w:eastAsia="EB Garamond" w:cs="EB Garamond"/>
        <w:b/>
        <w:bCs/>
      </w:rPr>
    </w:tblStylePr>
    <w:tblStylePr w:type="lastCol">
      <w:rPr>
        <w:rFonts w:ascii="EB Garamond" w:hAnsi="EB Garamond" w:eastAsia="EB Garamond" w:cs="EB Garamond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  <w:rPr>
      <w:rFonts w:ascii="EB Garamond" w:hAnsi="EB Garamond" w:eastAsia="EB Garamond" w:cs="EB Garamond"/>
    </w:r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EB Garamond" w:hAnsi="EB Garamond" w:eastAsia="EB Garamond" w:cs="EB Garamond"/>
    </w:r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EB Garamond" w:hAnsi="EB Garamond" w:eastAsia="EB Garamond" w:cs="EB Garamond"/>
    </w:r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EB Garamond" w:hAnsi="EB Garamond" w:eastAsia="EB Garamond" w:cs="EB Garamond"/>
    </w:r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EB Garamond" w:hAnsi="EB Garamond" w:eastAsia="EB Garamond" w:cs="EB Garamond"/>
    </w:r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EB Garamond" w:hAnsi="EB Garamond" w:eastAsia="EB Garamond" w:cs="EB Garamond"/>
    </w:r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EB Garamond" w:hAnsi="EB Garamond" w:eastAsia="EB Garamond" w:cs="EB Garamond"/>
    </w:r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EB Garamond" w:hAnsi="EB Garamond" w:eastAsia="EB Garamond" w:cs="EB Garamond"/>
    </w:r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EB Garamond" w:hAnsi="EB Garamond" w:eastAsia="EB Garamond" w:cs="EB Garamond"/>
    </w:r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EB Garamond" w:hAnsi="EB Garamond" w:eastAsia="EB Garamond" w:cs="EB Garamond"/>
    </w:r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EB Garamond" w:hAnsi="EB Garamond" w:eastAsia="EB Garamond" w:cs="EB Garamond"/>
    </w:r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EB Garamond" w:hAnsi="EB Garamond" w:eastAsia="EB Garamond" w:cs="EB Garamond"/>
    </w:r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EB Garamond" w:hAnsi="EB Garamond" w:eastAsia="EB Garamond" w:cs="EB Garamond"/>
    </w:r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EB Garamond" w:hAnsi="EB Garamond" w:eastAsia="EB Garamond" w:cs="EB Garamond"/>
    </w:r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EB Garamond" w:hAnsi="EB Garamond" w:eastAsia="EB Garamond" w:cs="EB Garamond"/>
    </w:r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/>
      <w:rFonts w:ascii="EB Garamond" w:hAnsi="EB Garamond" w:eastAsia="EB Garamond" w:cs="EB Garamond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EB Garamond" w:hAnsi="EB Garamond" w:eastAsia="EB Garamond" w:cs="EB Garamond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/>
      <w:rFonts w:ascii="EB Garamond" w:hAnsi="EB Garamond" w:eastAsia="EB Garamond" w:cs="EB Garamond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EB Garamond" w:hAnsi="EB Garamond" w:eastAsia="EB Garamond" w:cs="EB Garamond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/>
      <w:rFonts w:ascii="EB Garamond" w:hAnsi="EB Garamond" w:eastAsia="EB Garamond" w:cs="EB Garamond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EB Garamond" w:hAnsi="EB Garamond" w:eastAsia="EB Garamond" w:cs="EB Garamond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/>
      <w:rFonts w:ascii="EB Garamond" w:hAnsi="EB Garamond" w:eastAsia="EB Garamond" w:cs="EB Garamond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EB Garamond" w:hAnsi="EB Garamond" w:eastAsia="EB Garamond" w:cs="EB Garamond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/>
      <w:rFonts w:ascii="EB Garamond" w:hAnsi="EB Garamond" w:eastAsia="EB Garamond" w:cs="EB Garamond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EB Garamond" w:hAnsi="EB Garamond" w:eastAsia="EB Garamond" w:cs="EB Garamond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/>
      <w:rFonts w:ascii="EB Garamond" w:hAnsi="EB Garamond" w:eastAsia="EB Garamond" w:cs="EB Garamond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EB Garamond" w:hAnsi="EB Garamond" w:eastAsia="EB Garamond" w:cs="EB Garamond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/>
      <w:rFonts w:ascii="EB Garamond" w:hAnsi="EB Garamond" w:eastAsia="EB Garamond" w:cs="EB Garamond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EB Garamond" w:hAnsi="EB Garamond" w:eastAsia="EB Garamond" w:cs="EB Garamond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="EB Garamond" w:hAnsi="EB Garamond" w:eastAsia="EB Garamond" w:cs="EB Garamond"/>
      <w:color w:val="000000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="EB Garamond" w:hAnsi="EB Garamond" w:eastAsia="EB Garamond" w:cs="EB Garamond"/>
      <w:color w:val="000000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="EB Garamond" w:hAnsi="EB Garamond" w:eastAsia="EB Garamond" w:cs="EB Garamond"/>
      <w:color w:val="000000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="EB Garamond" w:hAnsi="EB Garamond" w:eastAsia="EB Garamond" w:cs="EB Garamond"/>
      <w:color w:val="000000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="EB Garamond" w:hAnsi="EB Garamond" w:eastAsia="EB Garamond" w:cs="EB Garamond"/>
      <w:color w:val="000000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="EB Garamond" w:hAnsi="EB Garamond" w:eastAsia="EB Garamond" w:cs="EB Garamond"/>
      <w:color w:val="000000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="EB Garamond" w:hAnsi="EB Garamond" w:eastAsia="EB Garamond" w:cs="EB Garamond"/>
      <w:color w:val="000000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  <w:rPr>
      <w:rFonts w:ascii="EB Garamond" w:hAnsi="EB Garamond" w:eastAsia="EB Garamond" w:cs="EB Garamond"/>
    </w:r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  <w:rPr>
      <w:rFonts w:ascii="EB Garamond" w:hAnsi="EB Garamond" w:eastAsia="EB Garamond" w:cs="EB Garamond"/>
    </w:r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  <w:rPr>
      <w:rFonts w:ascii="EB Garamond" w:hAnsi="EB Garamond" w:eastAsia="EB Garamond" w:cs="EB Garamond"/>
    </w:r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  <w:rPr>
      <w:rFonts w:ascii="EB Garamond" w:hAnsi="EB Garamond" w:eastAsia="EB Garamond" w:cs="EB Garamond"/>
    </w:r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  <w:rPr>
      <w:rFonts w:ascii="EB Garamond" w:hAnsi="EB Garamond" w:eastAsia="EB Garamond" w:cs="EB Garamond"/>
    </w:r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  <w:rPr>
      <w:rFonts w:ascii="EB Garamond" w:hAnsi="EB Garamond" w:eastAsia="EB Garamond" w:cs="EB Garamond"/>
    </w:r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  <w:rPr>
      <w:rFonts w:ascii="EB Garamond" w:hAnsi="EB Garamond" w:eastAsia="EB Garamond" w:cs="EB Garamond"/>
    </w:r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="EB Garamond" w:hAnsi="EB Garamond" w:eastAsia="EB Garamond" w:cs="EB Garamond"/>
      <w:color w:val="000000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="EB Garamond" w:hAnsi="EB Garamond" w:eastAsia="EB Garamond" w:cs="EB Garamond"/>
      <w:color w:val="000000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="EB Garamond" w:hAnsi="EB Garamond" w:eastAsia="EB Garamond" w:cs="EB Garamond"/>
      <w:color w:val="000000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="EB Garamond" w:hAnsi="EB Garamond" w:eastAsia="EB Garamond" w:cs="EB Garamond"/>
      <w:color w:val="000000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="EB Garamond" w:hAnsi="EB Garamond" w:eastAsia="EB Garamond" w:cs="EB Garamond"/>
      <w:color w:val="000000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="EB Garamond" w:hAnsi="EB Garamond" w:eastAsia="EB Garamond" w:cs="EB Garamond"/>
      <w:color w:val="000000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="EB Garamond" w:hAnsi="EB Garamond" w:eastAsia="EB Garamond" w:cs="EB Garamond"/>
      <w:color w:val="000000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  <w:rPr>
      <w:rFonts w:ascii="EB Garamond" w:hAnsi="EB Garamond" w:eastAsia="EB Garamond" w:cs="EB Garamond"/>
    </w:r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  <w:rPr>
      <w:rFonts w:ascii="EB Garamond" w:hAnsi="EB Garamond" w:eastAsia="EB Garamond" w:cs="EB Garamond"/>
    </w:r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  <w:rPr>
      <w:rFonts w:ascii="EB Garamond" w:hAnsi="EB Garamond" w:eastAsia="EB Garamond" w:cs="EB Garamond"/>
    </w:r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  <w:rPr>
      <w:rFonts w:ascii="EB Garamond" w:hAnsi="EB Garamond" w:eastAsia="EB Garamond" w:cs="EB Garamond"/>
    </w:r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  <w:rPr>
      <w:rFonts w:ascii="EB Garamond" w:hAnsi="EB Garamond" w:eastAsia="EB Garamond" w:cs="EB Garamond"/>
    </w:r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  <w:rPr>
      <w:rFonts w:ascii="EB Garamond" w:hAnsi="EB Garamond" w:eastAsia="EB Garamond" w:cs="EB Garamond"/>
    </w:r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  <w:rPr>
      <w:rFonts w:ascii="EB Garamond" w:hAnsi="EB Garamond" w:eastAsia="EB Garamond" w:cs="EB Garamond"/>
    </w:r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/>
      <w:rFonts w:ascii="EB Garamond" w:hAnsi="EB Garamond" w:eastAsia="EB Garamond" w:cs="EB Garamond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/>
      <w:rFonts w:ascii="EB Garamond" w:hAnsi="EB Garamond" w:eastAsia="EB Garamond" w:cs="EB Garamond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/>
      <w:rFonts w:ascii="EB Garamond" w:hAnsi="EB Garamond" w:eastAsia="EB Garamond" w:cs="EB Garamond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/>
      <w:rFonts w:ascii="EB Garamond" w:hAnsi="EB Garamond" w:eastAsia="EB Garamond" w:cs="EB Garamond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/>
      <w:rFonts w:ascii="EB Garamond" w:hAnsi="EB Garamond" w:eastAsia="EB Garamond" w:cs="EB Garamond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/>
      <w:rFonts w:ascii="EB Garamond" w:hAnsi="EB Garamond" w:eastAsia="EB Garamond" w:cs="EB Garamond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/>
      <w:rFonts w:ascii="EB Garamond" w:hAnsi="EB Garamond" w:eastAsia="EB Garamond" w:cs="EB Garamond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/>
      <w:rFonts w:ascii="EB Garamond" w:hAnsi="EB Garamond" w:eastAsia="EB Garamond" w:cs="EB Garamond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/>
      <w:rFonts w:ascii="EB Garamond" w:hAnsi="EB Garamond" w:eastAsia="EB Garamond" w:cs="EB Garamond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/>
      <w:rFonts w:ascii="EB Garamond" w:hAnsi="EB Garamond" w:eastAsia="EB Garamond" w:cs="EB Garamond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/>
      <w:rFonts w:ascii="EB Garamond" w:hAnsi="EB Garamond" w:eastAsia="EB Garamond" w:cs="EB Garamond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/>
      <w:rFonts w:ascii="EB Garamond" w:hAnsi="EB Garamond" w:eastAsia="EB Garamond" w:cs="EB Garamond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/>
      <w:rFonts w:ascii="EB Garamond" w:hAnsi="EB Garamond" w:eastAsia="EB Garamond" w:cs="EB Garamond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/>
      <w:rFonts w:ascii="EB Garamond" w:hAnsi="EB Garamond" w:eastAsia="EB Garamond" w:cs="EB Garamond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/>
      <w:rFonts w:ascii="EB Garamond" w:hAnsi="EB Garamond" w:eastAsia="EB Garamond" w:cs="EB Garamond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/>
      <w:rFonts w:ascii="EB Garamond" w:hAnsi="EB Garamond" w:eastAsia="EB Garamond" w:cs="EB Garamond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/>
      <w:rFonts w:ascii="EB Garamond" w:hAnsi="EB Garamond" w:eastAsia="EB Garamond" w:cs="EB Garamond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/>
      <w:rFonts w:ascii="EB Garamond" w:hAnsi="EB Garamond" w:eastAsia="EB Garamond" w:cs="EB Garamond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/>
      <w:rFonts w:ascii="EB Garamond" w:hAnsi="EB Garamond" w:eastAsia="EB Garamond" w:cs="EB Garamond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/>
      <w:rFonts w:ascii="EB Garamond" w:hAnsi="EB Garamond" w:eastAsia="EB Garamond" w:cs="EB Garamond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/>
      <w:rFonts w:ascii="EB Garamond" w:hAnsi="EB Garamond" w:eastAsia="EB Garamond" w:cs="EB Garamond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/>
      <w:rFonts w:ascii="EB Garamond" w:hAnsi="EB Garamond" w:eastAsia="EB Garamond" w:cs="EB Garamond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/>
      </w:rPr>
      <w:tblPr/>
      <w:tcPr>
        <w:shd w:val="clear" w:color="auto" w:fill="999999" w:themeFill="text1" w:themeFillTint="66"/>
      </w:tcPr>
    </w:tblStylePr>
    <w:tblStylePr w:type="firstCol">
      <w:rPr>
        <w:color w:val="FFFFFF"/>
      </w:rPr>
      <w:tblPr/>
      <w:tcPr>
        <w:shd w:val="clear" w:color="auto" w:fill="000000" w:themeFill="text1" w:themeFillShade="BF"/>
      </w:tcPr>
    </w:tblStylePr>
    <w:tblStylePr w:type="lastCol">
      <w:rPr>
        <w:color w:val="FFFFFF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/>
      <w:rFonts w:ascii="EB Garamond" w:hAnsi="EB Garamond" w:eastAsia="EB Garamond" w:cs="EB Garamond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/>
      </w:rPr>
      <w:tblPr/>
      <w:tcPr>
        <w:shd w:val="clear" w:color="auto" w:fill="B8CCE4" w:themeFill="accent1" w:themeFillTint="66"/>
      </w:tcPr>
    </w:tblStylePr>
    <w:tblStylePr w:type="firstCol">
      <w:rPr>
        <w:color w:val="FFFFFF"/>
      </w:rPr>
      <w:tblPr/>
      <w:tcPr>
        <w:shd w:val="clear" w:color="auto" w:fill="365F91" w:themeFill="accent1" w:themeFillShade="BF"/>
      </w:tcPr>
    </w:tblStylePr>
    <w:tblStylePr w:type="lastCol">
      <w:rPr>
        <w:color w:val="FFFFFF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/>
      <w:rFonts w:ascii="EB Garamond" w:hAnsi="EB Garamond" w:eastAsia="EB Garamond" w:cs="EB Garamond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/>
      </w:rPr>
      <w:tblPr/>
      <w:tcPr>
        <w:shd w:val="clear" w:color="auto" w:fill="E5B8B7" w:themeFill="accent2" w:themeFillTint="66"/>
      </w:tcPr>
    </w:tblStylePr>
    <w:tblStylePr w:type="firstCol">
      <w:rPr>
        <w:color w:val="FFFFFF"/>
      </w:rPr>
      <w:tblPr/>
      <w:tcPr>
        <w:shd w:val="clear" w:color="auto" w:fill="943634" w:themeFill="accent2" w:themeFillShade="BF"/>
      </w:tcPr>
    </w:tblStylePr>
    <w:tblStylePr w:type="lastCol">
      <w:rPr>
        <w:color w:val="FFFFFF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/>
      <w:rFonts w:ascii="EB Garamond" w:hAnsi="EB Garamond" w:eastAsia="EB Garamond" w:cs="EB Garamond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/>
      </w:rPr>
      <w:tblPr/>
      <w:tcPr>
        <w:shd w:val="clear" w:color="auto" w:fill="D6E3BC" w:themeFill="accent3" w:themeFillTint="66"/>
      </w:tcPr>
    </w:tblStylePr>
    <w:tblStylePr w:type="firstCol">
      <w:rPr>
        <w:color w:val="FFFFFF"/>
      </w:rPr>
      <w:tblPr/>
      <w:tcPr>
        <w:shd w:val="clear" w:color="auto" w:fill="76923C" w:themeFill="accent3" w:themeFillShade="BF"/>
      </w:tcPr>
    </w:tblStylePr>
    <w:tblStylePr w:type="lastCol">
      <w:rPr>
        <w:color w:val="FFFFFF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/>
      <w:rFonts w:ascii="EB Garamond" w:hAnsi="EB Garamond" w:eastAsia="EB Garamond" w:cs="EB Garamond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/>
      </w:rPr>
      <w:tblPr/>
      <w:tcPr>
        <w:shd w:val="clear" w:color="auto" w:fill="CCC0D9" w:themeFill="accent4" w:themeFillTint="66"/>
      </w:tcPr>
    </w:tblStylePr>
    <w:tblStylePr w:type="firstCol">
      <w:rPr>
        <w:color w:val="FFFFFF"/>
      </w:rPr>
      <w:tblPr/>
      <w:tcPr>
        <w:shd w:val="clear" w:color="auto" w:fill="5F497A" w:themeFill="accent4" w:themeFillShade="BF"/>
      </w:tcPr>
    </w:tblStylePr>
    <w:tblStylePr w:type="lastCol">
      <w:rPr>
        <w:color w:val="FFFFFF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/>
      <w:rFonts w:ascii="EB Garamond" w:hAnsi="EB Garamond" w:eastAsia="EB Garamond" w:cs="EB Garamond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/>
      </w:rPr>
      <w:tblPr/>
      <w:tcPr>
        <w:shd w:val="clear" w:color="auto" w:fill="B6DDE8" w:themeFill="accent5" w:themeFillTint="66"/>
      </w:tcPr>
    </w:tblStylePr>
    <w:tblStylePr w:type="firstCol">
      <w:rPr>
        <w:color w:val="FFFFFF"/>
      </w:rPr>
      <w:tblPr/>
      <w:tcPr>
        <w:shd w:val="clear" w:color="auto" w:fill="31849B" w:themeFill="accent5" w:themeFillShade="BF"/>
      </w:tcPr>
    </w:tblStylePr>
    <w:tblStylePr w:type="lastCol">
      <w:rPr>
        <w:color w:val="FFFFFF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/>
      <w:rFonts w:ascii="EB Garamond" w:hAnsi="EB Garamond" w:eastAsia="EB Garamond" w:cs="EB Garamond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/>
      </w:rPr>
      <w:tblPr/>
      <w:tcPr>
        <w:shd w:val="clear" w:color="auto" w:fill="FBD4B4" w:themeFill="accent6" w:themeFillTint="66"/>
      </w:tcPr>
    </w:tblStylePr>
    <w:tblStylePr w:type="firstCol">
      <w:rPr>
        <w:color w:val="FFFFFF"/>
      </w:rPr>
      <w:tblPr/>
      <w:tcPr>
        <w:shd w:val="clear" w:color="auto" w:fill="E36C0A" w:themeFill="accent6" w:themeFillShade="BF"/>
      </w:tcPr>
    </w:tblStylePr>
    <w:tblStylePr w:type="lastCol">
      <w:rPr>
        <w:color w:val="FFFFFF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EB Garamond" w:hAnsi="EB Garamond" w:eastAsia="EB Garamond" w:cs="EB Garamond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="EB Garamond" w:hAnsi="EB Garamond" w:eastAsia="EB Garamond" w:cs="EB Garamond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="EB Garamond" w:hAnsi="EB Garamond" w:eastAsia="EB Garamond" w:cs="EB Garamond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="EB Garamond" w:hAnsi="EB Garamond" w:eastAsia="EB Garamond" w:cs="EB Garamond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EB Garamond" w:hAnsi="EB Garamond" w:eastAsia="EB Garamond" w:cs="EB Garamond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EB Garamond" w:hAnsi="EB Garamond" w:eastAsia="EB Garamond" w:cs="EB Garamond"/>
      <w:color w:val="243F6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EB Garamond" w:hAnsi="EB Garamond" w:eastAsia="EB Garamond" w:cs="EB Garamond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EB Garamond" w:hAnsi="EB Garamond" w:eastAsia="EB Garamond" w:cs="EB Garamond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EB Garamond" w:hAnsi="EB Garamond" w:eastAsia="EB Garamond" w:cs="EB Garamond"/>
      <w:color w:val="4F81BD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EB Garamond" w:hAnsi="EB Garamond" w:eastAsia="EB Garamond" w:cs="EB Garamond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="EB Garamond" w:hAnsi="EB Garamond" w:eastAsia="EB Garamond" w:cs="EB Garamond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="EB Garamond" w:hAnsi="EB Garamond" w:eastAsia="EB Garamond" w:cs="EB Garamond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="EB Garamond" w:hAnsi="EB Garamond" w:eastAsia="EB Garamond" w:cs="EB Garamond"/>
      <w:b/>
      <w:bCs/>
      <w:color w:val="4F81BD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EB Garamond" w:hAnsi="EB Garamond" w:eastAsia="EB Garamond" w:cs="EB Garamond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="EB Garamond" w:hAnsi="EB Garamond" w:eastAsia="EB Garamond" w:cs="EB Garamond"/>
      <w:color w:val="17365D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="EB Garamond" w:hAnsi="EB Garamond" w:eastAsia="EB Garamond" w:cs="EB Garamond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="EB Garamond" w:hAnsi="EB Garamond" w:eastAsia="EB Garamond" w:cs="EB Garamond"/>
      <w:i/>
      <w:iCs/>
      <w:color w:val="4F81BD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EB Garamond" w:hAnsi="EB Garamond" w:eastAsia="EB Garamond" w:cs="EB Garamond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EB Garamond" w:hAnsi="EB Garamond" w:eastAsia="EB Garamond" w:cs="EB Garamond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="EB Garamond" w:hAnsi="EB Garamond" w:eastAsia="EB Garamond" w:cs="EB Garamond"/>
      <w:b/>
      <w:bCs/>
      <w:i/>
      <w:iCs/>
      <w:color w:val="4F81BD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="EB Garamond" w:hAnsi="EB Garamond" w:eastAsia="EB Garamond" w:cs="EB Garamond"/>
      <w:color w:val="243F6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="EB Garamond" w:hAnsi="EB Garamond" w:eastAsia="EB Garamond" w:cs="EB Garamond"/>
      <w:i/>
      <w:iCs/>
      <w:color w:val="243F6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="EB Garamond" w:hAnsi="EB Garamond" w:eastAsia="EB Garamond" w:cs="EB Garamond"/>
      <w:i/>
      <w:iCs/>
      <w:color w:val="40404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="EB Garamond" w:hAnsi="EB Garamond" w:eastAsia="EB Garamond" w:cs="EB Garamond"/>
      <w:color w:val="4F81BD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="EB Garamond" w:hAnsi="EB Garamond" w:eastAsia="EB Garamond" w:cs="EB Garamond"/>
      <w:i/>
      <w:iCs/>
      <w:color w:val="40404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EB Garamond" w:hAnsi="EB Garamond" w:eastAsia="EB Garamond" w:cs="EB Garamond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EB Garamond" w:hAnsi="EB Garamond" w:eastAsia="EB Garamond" w:cs="EB Garamond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EB Garamond" w:hAnsi="EB Garamond" w:eastAsia="EB Garamond" w:cs="EB Garamond"/>
        <w:b/>
        <w:bCs/>
      </w:rPr>
    </w:tblStylePr>
    <w:tblStylePr w:type="lastCol">
      <w:rPr>
        <w:rFonts w:ascii="EB Garamond" w:hAnsi="EB Garamond" w:eastAsia="EB Garamond" w:cs="EB Garamond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EB Garamond" w:hAnsi="EB Garamond" w:eastAsia="EB Garamond" w:cs="EB Garamond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EB Garamond" w:hAnsi="EB Garamond" w:eastAsia="EB Garamond" w:cs="EB Garamond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EB Garamond" w:hAnsi="EB Garamond" w:eastAsia="EB Garamond" w:cs="EB Garamond"/>
        <w:b/>
        <w:bCs/>
      </w:rPr>
    </w:tblStylePr>
    <w:tblStylePr w:type="lastCol">
      <w:rPr>
        <w:rFonts w:ascii="EB Garamond" w:hAnsi="EB Garamond" w:eastAsia="EB Garamond" w:cs="EB Garamond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EB Garamond" w:hAnsi="EB Garamond" w:eastAsia="EB Garamond" w:cs="EB Garamond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EB Garamond" w:hAnsi="EB Garamond" w:eastAsia="EB Garamond" w:cs="EB Garamond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EB Garamond" w:hAnsi="EB Garamond" w:eastAsia="EB Garamond" w:cs="EB Garamond"/>
        <w:b/>
        <w:bCs/>
      </w:rPr>
    </w:tblStylePr>
    <w:tblStylePr w:type="lastCol">
      <w:rPr>
        <w:rFonts w:ascii="EB Garamond" w:hAnsi="EB Garamond" w:eastAsia="EB Garamond" w:cs="EB Garamond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EB Garamond" w:hAnsi="EB Garamond" w:eastAsia="EB Garamond" w:cs="EB Garamond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EB Garamond" w:hAnsi="EB Garamond" w:eastAsia="EB Garamond" w:cs="EB Garamond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EB Garamond" w:hAnsi="EB Garamond" w:eastAsia="EB Garamond" w:cs="EB Garamond"/>
        <w:b/>
        <w:bCs/>
      </w:rPr>
    </w:tblStylePr>
    <w:tblStylePr w:type="lastCol">
      <w:rPr>
        <w:rFonts w:ascii="EB Garamond" w:hAnsi="EB Garamond" w:eastAsia="EB Garamond" w:cs="EB Garamond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EB Garamond" w:hAnsi="EB Garamond" w:eastAsia="EB Garamond" w:cs="EB Garamond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EB Garamond" w:hAnsi="EB Garamond" w:eastAsia="EB Garamond" w:cs="EB Garamond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EB Garamond" w:hAnsi="EB Garamond" w:eastAsia="EB Garamond" w:cs="EB Garamond"/>
        <w:b/>
        <w:bCs/>
      </w:rPr>
    </w:tblStylePr>
    <w:tblStylePr w:type="lastCol">
      <w:rPr>
        <w:rFonts w:ascii="EB Garamond" w:hAnsi="EB Garamond" w:eastAsia="EB Garamond" w:cs="EB Garamond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EB Garamond" w:hAnsi="EB Garamond" w:eastAsia="EB Garamond" w:cs="EB Garamond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EB Garamond" w:hAnsi="EB Garamond" w:eastAsia="EB Garamond" w:cs="EB Garamond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EB Garamond" w:hAnsi="EB Garamond" w:eastAsia="EB Garamond" w:cs="EB Garamond"/>
        <w:b/>
        <w:bCs/>
      </w:rPr>
    </w:tblStylePr>
    <w:tblStylePr w:type="lastCol">
      <w:rPr>
        <w:rFonts w:ascii="EB Garamond" w:hAnsi="EB Garamond" w:eastAsia="EB Garamond" w:cs="EB Garamond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EB Garamond" w:hAnsi="EB Garamond" w:eastAsia="EB Garamond" w:cs="EB Garamond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EB Garamond" w:hAnsi="EB Garamond" w:eastAsia="EB Garamond" w:cs="EB Garamond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EB Garamond" w:hAnsi="EB Garamond" w:eastAsia="EB Garamond" w:cs="EB Garamond"/>
        <w:b/>
        <w:bCs/>
      </w:rPr>
    </w:tblStylePr>
    <w:tblStylePr w:type="lastCol">
      <w:rPr>
        <w:rFonts w:ascii="EB Garamond" w:hAnsi="EB Garamond" w:eastAsia="EB Garamond" w:cs="EB Garamond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EB Garamond" w:hAnsi="EB Garamond" w:eastAsia="EB Garamond" w:cs="EB Garamond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EB Garamond" w:hAnsi="EB Garamond" w:eastAsia="EB Garamond" w:cs="EB Garamond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EB Garamond" w:hAnsi="EB Garamond" w:eastAsia="EB Garamond" w:cs="EB Garamond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EB Garamond" w:hAnsi="EB Garamond" w:eastAsia="EB Garamond" w:cs="EB Garamond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EB Garamond" w:hAnsi="EB Garamond" w:eastAsia="EB Garamond" w:cs="EB Garamond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EB Garamond" w:hAnsi="EB Garamond" w:eastAsia="EB Garamond" w:cs="EB Garamond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EB Garamond" w:hAnsi="EB Garamond" w:eastAsia="EB Garamond" w:cs="EB Garamond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="EB Garamond" w:hAnsi="EB Garamond" w:eastAsia="EB Garamond" w:cs="EB Garamond"/>
      <w:color w:val="000000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="EB Garamond" w:hAnsi="EB Garamond" w:eastAsia="EB Garamond" w:cs="EB Garamond"/>
      <w:color w:val="000000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="EB Garamond" w:hAnsi="EB Garamond" w:eastAsia="EB Garamond" w:cs="EB Garamond"/>
      <w:color w:val="000000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="EB Garamond" w:hAnsi="EB Garamond" w:eastAsia="EB Garamond" w:cs="EB Garamond"/>
      <w:color w:val="000000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="EB Garamond" w:hAnsi="EB Garamond" w:eastAsia="EB Garamond" w:cs="EB Garamond"/>
      <w:color w:val="000000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="EB Garamond" w:hAnsi="EB Garamond" w:eastAsia="EB Garamond" w:cs="EB Garamond"/>
      <w:color w:val="000000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="EB Garamond" w:hAnsi="EB Garamond" w:eastAsia="EB Garamond" w:cs="EB Garamond"/>
      <w:color w:val="000000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="EB Garamond" w:hAnsi="EB Garamond" w:eastAsia="EB Garamond" w:cs="EB Garamond"/>
      <w:color w:val="000000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="EB Garamond" w:hAnsi="EB Garamond" w:eastAsia="EB Garamond" w:cs="EB Garamond"/>
      <w:color w:val="000000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="EB Garamond" w:hAnsi="EB Garamond" w:eastAsia="EB Garamond" w:cs="EB Garamond"/>
      <w:color w:val="000000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="EB Garamond" w:hAnsi="EB Garamond" w:eastAsia="EB Garamond" w:cs="EB Garamond"/>
      <w:color w:val="000000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="EB Garamond" w:hAnsi="EB Garamond" w:eastAsia="EB Garamond" w:cs="EB Garamond"/>
      <w:color w:val="000000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="EB Garamond" w:hAnsi="EB Garamond" w:eastAsia="EB Garamond" w:cs="EB Garamond"/>
      <w:color w:val="000000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="EB Garamond" w:hAnsi="EB Garamond" w:eastAsia="EB Garamond" w:cs="EB Garamond"/>
      <w:color w:val="000000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/>
      </w:rPr>
      <w:tblPr/>
      <w:tcPr>
        <w:shd w:val="clear" w:color="auto" w:fill="999999" w:themeFill="text1" w:themeFillTint="66"/>
      </w:tcPr>
    </w:tblStylePr>
    <w:tblStylePr w:type="firstCol">
      <w:rPr>
        <w:color w:val="FFFFFF"/>
      </w:rPr>
      <w:tblPr/>
      <w:tcPr>
        <w:shd w:val="clear" w:color="auto" w:fill="000000" w:themeFill="text1" w:themeFillShade="BF"/>
      </w:tcPr>
    </w:tblStylePr>
    <w:tblStylePr w:type="lastCol">
      <w:rPr>
        <w:color w:val="FFFFFF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/>
      </w:rPr>
      <w:tblPr/>
      <w:tcPr>
        <w:shd w:val="clear" w:color="auto" w:fill="B8CCE4" w:themeFill="accent1" w:themeFillTint="66"/>
      </w:tcPr>
    </w:tblStylePr>
    <w:tblStylePr w:type="firstCol">
      <w:rPr>
        <w:color w:val="FFFFFF"/>
      </w:rPr>
      <w:tblPr/>
      <w:tcPr>
        <w:shd w:val="clear" w:color="auto" w:fill="365F91" w:themeFill="accent1" w:themeFillShade="BF"/>
      </w:tcPr>
    </w:tblStylePr>
    <w:tblStylePr w:type="lastCol">
      <w:rPr>
        <w:color w:val="FFFFFF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/>
      </w:rPr>
      <w:tblPr/>
      <w:tcPr>
        <w:shd w:val="clear" w:color="auto" w:fill="E5B8B7" w:themeFill="accent2" w:themeFillTint="66"/>
      </w:tcPr>
    </w:tblStylePr>
    <w:tblStylePr w:type="firstCol">
      <w:rPr>
        <w:color w:val="FFFFFF"/>
      </w:rPr>
      <w:tblPr/>
      <w:tcPr>
        <w:shd w:val="clear" w:color="auto" w:fill="943634" w:themeFill="accent2" w:themeFillShade="BF"/>
      </w:tcPr>
    </w:tblStylePr>
    <w:tblStylePr w:type="lastCol">
      <w:rPr>
        <w:color w:val="FFFFFF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/>
      </w:rPr>
      <w:tblPr/>
      <w:tcPr>
        <w:shd w:val="clear" w:color="auto" w:fill="D6E3BC" w:themeFill="accent3" w:themeFillTint="66"/>
      </w:tcPr>
    </w:tblStylePr>
    <w:tblStylePr w:type="firstCol">
      <w:rPr>
        <w:color w:val="FFFFFF"/>
      </w:rPr>
      <w:tblPr/>
      <w:tcPr>
        <w:shd w:val="clear" w:color="auto" w:fill="76923C" w:themeFill="accent3" w:themeFillShade="BF"/>
      </w:tcPr>
    </w:tblStylePr>
    <w:tblStylePr w:type="lastCol">
      <w:rPr>
        <w:color w:val="FFFFFF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/>
      </w:rPr>
      <w:tblPr/>
      <w:tcPr>
        <w:shd w:val="clear" w:color="auto" w:fill="CCC0D9" w:themeFill="accent4" w:themeFillTint="66"/>
      </w:tcPr>
    </w:tblStylePr>
    <w:tblStylePr w:type="firstCol">
      <w:rPr>
        <w:color w:val="FFFFFF"/>
      </w:rPr>
      <w:tblPr/>
      <w:tcPr>
        <w:shd w:val="clear" w:color="auto" w:fill="5F497A" w:themeFill="accent4" w:themeFillShade="BF"/>
      </w:tcPr>
    </w:tblStylePr>
    <w:tblStylePr w:type="lastCol">
      <w:rPr>
        <w:color w:val="FFFFFF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/>
      </w:rPr>
      <w:tblPr/>
      <w:tcPr>
        <w:shd w:val="clear" w:color="auto" w:fill="B6DDE8" w:themeFill="accent5" w:themeFillTint="66"/>
      </w:tcPr>
    </w:tblStylePr>
    <w:tblStylePr w:type="firstCol">
      <w:rPr>
        <w:color w:val="FFFFFF"/>
      </w:rPr>
      <w:tblPr/>
      <w:tcPr>
        <w:shd w:val="clear" w:color="auto" w:fill="31849B" w:themeFill="accent5" w:themeFillShade="BF"/>
      </w:tcPr>
    </w:tblStylePr>
    <w:tblStylePr w:type="lastCol">
      <w:rPr>
        <w:color w:val="FFFFFF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/>
      </w:rPr>
      <w:tblPr/>
      <w:tcPr>
        <w:shd w:val="clear" w:color="auto" w:fill="FBD4B4" w:themeFill="accent6" w:themeFillTint="66"/>
      </w:tcPr>
    </w:tblStylePr>
    <w:tblStylePr w:type="firstCol">
      <w:rPr>
        <w:color w:val="FFFFFF"/>
      </w:rPr>
      <w:tblPr/>
      <w:tcPr>
        <w:shd w:val="clear" w:color="auto" w:fill="E36C0A" w:themeFill="accent6" w:themeFillShade="BF"/>
      </w:tcPr>
    </w:tblStylePr>
    <w:tblStylePr w:type="lastCol">
      <w:rPr>
        <w:color w:val="FFFFFF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footer" Target="footer2.xml"/><Relationship Id="rId12" Type="http://schemas.openxmlformats.org/officeDocument/2006/relationships/image" Target="media/image1.png"/><Relationship Id="rId13" Type="http://schemas.openxmlformats.org/officeDocument/2006/relationships/hyperlink" Target="https://www.corneritaliano.com/en/2050/resources/" TargetMode="External"/><Relationship Id="rId14" Type="http://schemas.openxmlformats.org/officeDocument/2006/relationships/header" Target="header2.xml"/></Relationships>
</file>

<file path=word/_rels/fontTable.xml.rels><?xml version='1.0' encoding='UTF-8' standalone='yes'?>
<Relationships xmlns="http://schemas.openxmlformats.org/package/2006/relationships"><Relationship Id="rId1" Type="http://schemas.openxmlformats.org/officeDocument/2006/relationships/font" Target="fonts/EBGaramond-Regular.odttf"/><Relationship Id="rId2" Type="http://schemas.openxmlformats.org/officeDocument/2006/relationships/font" Target="fonts/EBGaramond-Bold.odttf"/><Relationship Id="rId3" Type="http://schemas.openxmlformats.org/officeDocument/2006/relationships/font" Target="fonts/EBGaramond-Italic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EB Garamond"/>
        <a:ea typeface="EB Garamond"/>
        <a:cs typeface="EB Garamond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EB Garamond"/>
        <a:ea typeface="EB Garamond"/>
        <a:cs typeface="EB Garamond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Davide Case - Full Record</dc:title>
  <dc:subject>2050 Resource version EN-US-R2.3 | A4</dc:subject>
  <dc:creator>Marco De Prosperis</dc:creator>
  <cp:keywords>2050, EN-US-R2.3, July 2026 documentary snapshot, revised English interior</cp:keywords>
  <dc:description>EN-US-R2.3 resources verified against the English V51.2 interior. This release updates version labels and release documentation; substantive resource text is unchanged.</dc:description>
  <cp:lastModifiedBy>Corner Italiano LLC</cp:lastModifiedBy>
  <cp:revision>2</cp:revision>
  <dcterms:created xsi:type="dcterms:W3CDTF">2013-12-23T23:15:00Z</dcterms:created>
  <dcterms:modified xsi:type="dcterms:W3CDTF">2026-09-10T15:55:33Z</dcterms:modified>
  <cp:category/>
</cp:coreProperties>
</file>