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  <Default Extension="odttf" ContentType="application/vnd.openxmlformats-officedocument.obfuscatedFont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840" w:line="240" w:lineRule="auto"/>
        <w:jc w:val="center"/>
      </w:pPr>
      <w:r>
        <w:drawing>
          <wp:inline xmlns:a="http://schemas.openxmlformats.org/drawingml/2006/main" xmlns:pic="http://schemas.openxmlformats.org/drawingml/2006/picture">
            <wp:extent cx="1508760" cy="1005840"/>
            <wp:docPr id="1" name="Picture 1" descr="Corner Italiano editorial logo" title="Corner Italiano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ner-italiano-logo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005840"/>
                    </a:xfrm>
                    <a:prstGeom prst="rect"/>
                  </pic:spPr>
                </pic:pic>
              </a:graphicData>
            </a:graphic>
          </wp:inline>
        </w:drawing>
        <w:rPr>
          <w:rFonts w:ascii="EB Garamond" w:hAnsi="EB Garamond" w:eastAsia="EB Garamond" w:cs="EB Garamond"/>
          <w:sz w:val="21"/>
          <w:szCs w:val="21"/>
        </w:rPr>
      </w:r>
    </w:p>
    <w:p>
      <w:pPr>
        <w:spacing w:before="520" w:after="160" w:line="270" w:lineRule="exact"/>
        <w:jc w:val="center"/>
      </w:pPr>
      <w:r>
        <w:rPr>
          <w:rFonts w:ascii="EB Garamond" w:hAnsi="EB Garamond" w:eastAsia="EB Garamond" w:cs="EB Garamond"/>
          <w:b/>
          <w:color w:val="B04A35"/>
          <w:sz w:val="21"/>
          <w:szCs w:val="21"/>
        </w:rPr>
        <w:t>CORNER ITALIANO  |  OFFICIAL RESOURCES</w:t>
      </w:r>
    </w:p>
    <w:p>
      <w:pPr>
        <w:pStyle w:val="Title"/>
        <w:jc w:val="center"/>
        <w:spacing w:line="640" w:lineRule="exact"/>
      </w:pPr>
      <w:r>
        <w:rPr>
          <w:rFonts w:ascii="EB Garamond" w:hAnsi="EB Garamond" w:eastAsia="EB Garamond" w:cs="EB Garamond"/>
          <w:b/>
          <w:color w:val="183445"/>
          <w:sz w:val="56"/>
          <w:szCs w:val="56"/>
        </w:rPr>
        <w:t>Davide Case</w:t>
      </w:r>
    </w:p>
    <w:p>
      <w:pPr>
        <w:pStyle w:val="Subtitle"/>
        <w:jc w:val="center"/>
        <w:spacing w:line="320" w:lineRule="exact"/>
      </w:pPr>
      <w:r>
        <w:rPr>
          <w:rFonts w:ascii="EB Garamond" w:hAnsi="EB Garamond" w:eastAsia="EB Garamond" w:cs="EB Garamond"/>
          <w:color w:val="5A686F"/>
          <w:sz w:val="26"/>
          <w:szCs w:val="26"/>
        </w:rPr>
        <w:t>Full record, exit, and reopening</w:t>
      </w:r>
    </w:p>
    <w:p>
      <w:pPr>
        <w:spacing w:before="440" w:line="270" w:lineRule="exact"/>
        <w:jc w:val="center"/>
      </w:pPr>
      <w:r>
        <w:rPr>
          <w:rFonts w:ascii="EB Garamond" w:hAnsi="EB Garamond" w:eastAsia="EB Garamond" w:cs="EB Garamond"/>
          <w:b/>
          <w:color w:val="B04A35"/>
          <w:sz w:val="21"/>
          <w:szCs w:val="21"/>
        </w:rPr>
        <w:t>COMPLETED EXAMPLE OF THE 2050 TEST</w:t>
      </w:r>
    </w:p>
    <w:p>
      <w:pPr>
        <w:jc w:val="center"/>
        <w:spacing w:line="270" w:lineRule="exact"/>
      </w:pPr>
      <w:r>
        <w:rPr>
          <w:rFonts w:ascii="EB Garamond" w:hAnsi="EB Garamond" w:eastAsia="EB Garamond" w:cs="EB Garamond"/>
          <w:color w:val="183445"/>
          <w:sz w:val="21"/>
          <w:szCs w:val="21"/>
        </w:rPr>
        <w:t>Aligned with the revised English interior · Documentary snapshot July 2026 · Resource version EN-US-R2.3</w:t>
      </w:r>
    </w:p>
    <w:p>
      <w:pPr>
        <w:spacing w:before="360" w:line="270" w:lineRule="exact"/>
        <w:jc w:val="center"/>
      </w:pPr>
      <w:hyperlink r:id="rId13">
        <w:r>
          <w:rPr>
            <w:rFonts w:ascii="EB Garamond" w:hAnsi="EB Garamond" w:eastAsia="EB Garamond" w:cs="EB Garamond"/>
            <w:color w:val="183445"/>
            <w:u w:val="single"/>
            <w:sz w:val="21"/>
            <w:szCs w:val="21"/>
          </w:rPr>
          <w:t>https://www.corneritaliano.com/en/2050/resources/</w:t>
        </w:r>
      </w:hyperlink>
    </w:p>
    <w:p>
      <w:r>
        <w:br w:type="page"/>
        <w:rPr>
          <w:rFonts w:ascii="EB Garamond" w:hAnsi="EB Garamond" w:eastAsia="EB Garamond" w:cs="EB Garamond"/>
          <w:sz w:val="21"/>
          <w:szCs w:val="21"/>
        </w:rPr>
      </w:r>
      <w:pPr/>
    </w:p>
    <w:tbl>
      <w:tblPr>
        <w:tblW w:type="dxa" w:w="10224"/>
        <w:jc w:val="left"/>
        <w:tblLayout w:type="fixed"/>
        <w:tblLook w:firstColumn="1" w:firstRow="1" w:lastColumn="0" w:lastRow="0" w:noHBand="0" w:noVBand="1" w:val="04A0"/>
        <w:tblInd w:w="150" w:type="dxa"/>
        <w:tblBorders>
          <w:top w:val="single" w:sz="7" w:space="0" w:color="B54B2A"/>
          <w:left w:val="single" w:sz="7" w:space="0" w:color="B54B2A"/>
          <w:bottom w:val="single" w:sz="7" w:space="0" w:color="B54B2A"/>
          <w:right w:val="single" w:sz="7" w:space="0" w:color="B54B2A"/>
          <w:insideH w:val="single" w:sz="7" w:space="0" w:color="B54B2A"/>
          <w:insideV w:val="single" w:sz="7" w:space="0" w:color="B54B2A"/>
        </w:tblBorders>
      </w:tblPr>
      <w:tblGrid>
        <w:gridCol w:w="10224"/>
      </w:tblGrid>
      <w:tr>
        <w:trPr>
          <w:cantSplit/>
        </w:trPr>
        <w:tc>
          <w:tcPr>
            <w:tcW w:type="dxa" w:w="10224"/>
            <w:shd w:fill="F7E7E0"/>
            <w:tcMar>
              <w:top w:w="120" w:type="dxa"/>
              <w:start w:w="150" w:type="dxa"/>
              <w:bottom w:w="120" w:type="dxa"/>
              <w:end w:w="150" w:type="dxa"/>
            </w:tcMar>
          </w:tcPr>
          <w:p>
            <w:pPr>
              <w:spacing w:after="40" w:line="210" w:lineRule="exact"/>
            </w:pPr>
            <w:r>
              <w:rPr>
                <w:rFonts w:ascii="EB Garamond" w:hAnsi="EB Garamond" w:eastAsia="EB Garamond" w:cs="EB Garamond"/>
                <w:b/>
                <w:color w:val="B04A35"/>
                <w:sz w:val="17"/>
                <w:szCs w:val="17"/>
              </w:rPr>
              <w:t xml:space="preserve">HOW TO READ THIS NARRATIVE SCENARIO  </w:t>
            </w:r>
            <w:r>
              <w:rPr>
                <w:rFonts w:ascii="EB Garamond" w:hAnsi="EB Garamond" w:eastAsia="EB Garamond" w:cs="EB Garamond"/>
                <w:color w:val="1F2D33"/>
                <w:sz w:val="17"/>
                <w:szCs w:val="17"/>
              </w:rPr>
              <w:t>The record distinguishes evidence status from the organizational decision. Even when all seven questions are documented, Do not delegate remains available. A capable product can leave too little benefit to justify oversight and dependence, including the work of exiting the service, in the particular context.</w:t>
            </w:r>
          </w:p>
        </w:tc>
      </w:tr>
    </w:tbl>
    <w:p>
      <w:pPr>
        <w:spacing w:after="0"/>
      </w:pPr>
    </w:p>
    <w:p>
      <w:pPr>
        <w:pStyle w:val="Heading1"/>
        <w:spacing w:line="460" w:lineRule="exact"/>
      </w:pPr>
      <w:r>
        <w:t>Case timeline</w:t>
        <w:rPr>
          <w:rFonts w:ascii="EB Garamond" w:hAnsi="EB Garamond" w:eastAsia="EB Garamond" w:cs="EB Garamond"/>
          <w:sz w:val="40"/>
          <w:szCs w:val="40"/>
          <w:color w:val="183445"/>
        </w:rPr>
      </w:r>
    </w:p>
    <w:tbl>
      <w:tblPr>
        <w:tblW w:type="dxa" w:w="10224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5" w:space="0" w:color="C8D2D7"/>
          <w:left w:val="single" w:sz="5" w:space="0" w:color="C8D2D7"/>
          <w:bottom w:val="single" w:sz="5" w:space="0" w:color="C8D2D7"/>
          <w:right w:val="single" w:sz="5" w:space="0" w:color="C8D2D7"/>
          <w:insideH w:val="single" w:sz="5" w:space="0" w:color="C8D2D7"/>
          <w:insideV w:val="single" w:sz="5" w:space="0" w:color="C8D2D7"/>
        </w:tblBorders>
      </w:tblPr>
      <w:tblGrid>
        <w:gridCol w:w="2352"/>
        <w:gridCol w:w="7872"/>
      </w:tblGrid>
      <w:tr>
        <w:trPr>
          <w:tblHeader w:val="true"/>
          <w:cantSplit/>
        </w:trPr>
        <w:tc>
          <w:tcPr>
            <w:tcW w:type="dxa" w:w="235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Moment</w:t>
            </w:r>
          </w:p>
        </w:tc>
        <w:tc>
          <w:tcPr>
            <w:tcW w:type="dxa" w:w="787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Evidence and decision</w:t>
            </w:r>
          </w:p>
        </w:tc>
      </w:tr>
      <w:tr>
        <w:trPr>
          <w:cantSplit/>
        </w:trPr>
        <w:tc>
          <w:tcPr>
            <w:tcW w:type="dxa" w:w="235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Before the pilot</w:t>
            </w:r>
          </w:p>
        </w:tc>
        <w:tc>
          <w:tcPr>
            <w:tcW w:type="dxa" w:w="787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exit test fails: logs are readable, but configurations and permissions cannot be reconstructed. The pilot does not begin.</w:t>
            </w:r>
          </w:p>
        </w:tc>
      </w:tr>
      <w:tr>
        <w:trPr>
          <w:cantSplit/>
        </w:trPr>
        <w:tc>
          <w:tcPr>
            <w:tcW w:type="dxa" w:w="235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Second exit test</w:t>
            </w:r>
          </w:p>
        </w:tc>
        <w:tc>
          <w:tcPr>
            <w:tcW w:type="dxa" w:w="787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team reopens a case in a separate environment, reassigns permissions, and continues without the primary service.</w:t>
            </w:r>
          </w:p>
        </w:tc>
      </w:tr>
      <w:tr>
        <w:trPr>
          <w:cantSplit/>
        </w:trPr>
        <w:tc>
          <w:tcPr>
            <w:tcW w:type="dxa" w:w="235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Launch</w:t>
            </w:r>
          </w:p>
        </w:tc>
        <w:tc>
          <w:tcPr>
            <w:tcW w:type="dxa" w:w="787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Decision: Limit and test for ninety days, first in shadow mode and then only in Proposes mode; no autonomous execution.</w:t>
            </w:r>
          </w:p>
        </w:tc>
      </w:tr>
      <w:tr>
        <w:trPr>
          <w:cantSplit/>
        </w:trPr>
        <w:tc>
          <w:tcPr>
            <w:tcW w:type="dxa" w:w="235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During the pilot</w:t>
            </w:r>
          </w:p>
        </w:tc>
        <w:tc>
          <w:tcPr>
            <w:tcW w:type="dxa" w:w="787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system finds useful precedents. A plausible error reuses a clause without the agreed limitation. No contract is sent.</w:t>
            </w:r>
          </w:p>
        </w:tc>
      </w:tr>
      <w:tr>
        <w:trPr>
          <w:cantSplit/>
        </w:trPr>
        <w:tc>
          <w:tcPr>
            <w:tcW w:type="dxa" w:w="235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October 15, 2050</w:t>
            </w:r>
          </w:p>
        </w:tc>
        <w:tc>
          <w:tcPr>
            <w:tcW w:type="dxa" w:w="787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net benefit remains modest and irregular after oversight, training, apprenticeship, and exit. Decision: Do not delegate.</w:t>
            </w:r>
          </w:p>
        </w:tc>
      </w:tr>
      <w:tr>
        <w:trPr>
          <w:cantSplit/>
        </w:trPr>
        <w:tc>
          <w:tcPr>
            <w:tcW w:type="dxa" w:w="235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October 16, 2050</w:t>
            </w:r>
          </w:p>
        </w:tc>
        <w:tc>
          <w:tcPr>
            <w:tcW w:type="dxa" w:w="787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record also captures the cost of saying no: queued proposals, nonbillable hours, the provider balance, and one lost client.</w:t>
            </w:r>
          </w:p>
        </w:tc>
      </w:tr>
      <w:tr>
        <w:trPr>
          <w:cantSplit/>
        </w:trPr>
        <w:tc>
          <w:tcPr>
            <w:tcW w:type="dxa" w:w="235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Closure</w:t>
            </w:r>
          </w:p>
        </w:tc>
        <w:tc>
          <w:tcPr>
            <w:tcW w:type="dxa" w:w="787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Final export, access revocation, and random reopening of one case without provider assistance.</w:t>
            </w:r>
          </w:p>
        </w:tc>
      </w:tr>
      <w:tr>
        <w:trPr>
          <w:cantSplit/>
        </w:trPr>
        <w:tc>
          <w:tcPr>
            <w:tcW w:type="dxa" w:w="235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April 15, 2051</w:t>
            </w:r>
          </w:p>
        </w:tc>
        <w:tc>
          <w:tcPr>
            <w:tcW w:type="dxa" w:w="7872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Reopening for a narrower proposal: precedent search only, closed cases, shadow mode, no external effect, and the continuing possibility of saying no.</w:t>
            </w:r>
          </w:p>
        </w:tc>
      </w:tr>
    </w:tbl>
    <w:p>
      <w:pPr>
        <w:spacing w:after="0"/>
      </w:pPr>
    </w:p>
    <w:p>
      <w:pPr>
        <w:pStyle w:val="Heading1"/>
        <w:spacing w:line="460" w:lineRule="exact"/>
      </w:pPr>
      <w:r>
        <w:t xml:space="preserve">Record as of October 15, 2050, with follow-up</w:t>
        <w:rPr>
          <w:rFonts w:ascii="EB Garamond" w:hAnsi="EB Garamond" w:eastAsia="EB Garamond" w:cs="EB Garamond"/>
          <w:sz w:val="40"/>
          <w:szCs w:val="40"/>
          <w:color w:val="183445"/>
        </w:rPr>
      </w:r>
    </w:p>
    <w:tbl>
      <w:tblPr>
        <w:tblW w:type="dxa" w:w="10224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5" w:space="0" w:color="C8D2D7"/>
          <w:left w:val="single" w:sz="5" w:space="0" w:color="C8D2D7"/>
          <w:bottom w:val="single" w:sz="5" w:space="0" w:color="C8D2D7"/>
          <w:right w:val="single" w:sz="5" w:space="0" w:color="C8D2D7"/>
          <w:insideH w:val="single" w:sz="5" w:space="0" w:color="C8D2D7"/>
          <w:insideV w:val="single" w:sz="5" w:space="0" w:color="C8D2D7"/>
        </w:tblBorders>
      </w:tblPr>
      <w:tblGrid>
        <w:gridCol w:w="2863"/>
        <w:gridCol w:w="7361"/>
      </w:tblGrid>
      <w:tr>
        <w:trPr>
          <w:tblHeader w:val="true"/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Field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 xml:space="preserve">Record as of October 15, 2050, with follow-up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System and decision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Operational twin for contract work. Decide whether to adopt it after a ninety-day pilot, first in shadow mode and then, if the evidence holds, in Proposes mode.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Context and exposed people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Davide’s small business; the contract lead; a younger colleague in apprenticeship; the commercial director; clients and counterparties bound by proposals.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Purpose - Sufficient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Reduce backlog and preparation time without increasing missed exceptions, late corrections, or commitments that are not understood. The organizational alternative is assessed against the same need.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Mandate - Sufficient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twin compares precedents, flags deviations, and formulates alternatives. No Decides or Executes mode: it neither sends nor signs; shifts, prices, personnel, and contractual commitments remain excluded. Each supervisor follows no more than twelve open processes, a scenario threshold to be reviewed under actual load.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Evidence - Sufficient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Closed cases including costly exceptions, shadow use, later Proposes mode, a simulated incident, and actual load. The system finds many useful precedents and makes one plausible error at the decisive point; the benefit is real, modest, and irregular.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Distribution - Sufficient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Gross savings are separated from expert hours, training, apprenticeship, client delays, and exit work. The younger colleague receives protected time to reconstruct cases.</w:t>
            </w:r>
          </w:p>
        </w:tc>
      </w:tr>
    </w:tbl>
    <w:p>
      <w:pPr>
        <w:spacing w:after="0"/>
      </w:pPr>
    </w:p>
    <w:p>
      <w:r>
        <w:br w:type="page"/>
        <w:rPr>
          <w:rFonts w:ascii="EB Garamond" w:hAnsi="EB Garamond" w:eastAsia="EB Garamond" w:cs="EB Garamond"/>
          <w:sz w:val="21"/>
          <w:szCs w:val="21"/>
        </w:rPr>
      </w:r>
      <w:pPr/>
    </w:p>
    <w:p>
      <w:pPr>
        <w:pStyle w:val="Heading1"/>
        <w:spacing w:line="460" w:lineRule="exact"/>
      </w:pPr>
      <w:r>
        <w:t xml:space="preserve">Record as of October 15, 2050, with follow-up - continued</w:t>
        <w:rPr>
          <w:rFonts w:ascii="EB Garamond" w:hAnsi="EB Garamond" w:eastAsia="EB Garamond" w:cs="EB Garamond"/>
          <w:sz w:val="40"/>
          <w:szCs w:val="40"/>
          <w:color w:val="183445"/>
        </w:rPr>
      </w:r>
    </w:p>
    <w:tbl>
      <w:tblPr>
        <w:tblW w:type="dxa" w:w="10224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5" w:space="0" w:color="C8D2D7"/>
          <w:left w:val="single" w:sz="5" w:space="0" w:color="C8D2D7"/>
          <w:bottom w:val="single" w:sz="5" w:space="0" w:color="C8D2D7"/>
          <w:right w:val="single" w:sz="5" w:space="0" w:color="C8D2D7"/>
          <w:insideH w:val="single" w:sz="5" w:space="0" w:color="C8D2D7"/>
          <w:insideV w:val="single" w:sz="5" w:space="0" w:color="C8D2D7"/>
        </w:tblBorders>
      </w:tblPr>
      <w:tblGrid>
        <w:gridCol w:w="2863"/>
        <w:gridCol w:w="7361"/>
      </w:tblGrid>
      <w:tr>
        <w:trPr>
          <w:tblHeader w:val="true"/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Field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 xml:space="preserve">Record as of October 15, 2050, with follow-up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Harm - Sufficient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Plausible failure: a clause omits a limitation or transfers risk before the source and exception are understood. Signature leaves a control window; it does not make the harm negligible.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Redress - Sufficient in the pilot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No external effect is automatic. The contract lead can reopen, modify, block, and suspend; interventions remain recorded. The commercial director’s dissent is retained but does not replace the counterparty’s Redress.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Exit - Blocking, then Sufficient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first export does not reconstruct configurations and permissions, so the pilot does not begin. In the second test, the team reopens a case in a separate environment and continues without the primary service. At closure, it exports logs and configurations, reopens a random case without provider help, and revokes access.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Provisional decision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Limit and test: ninety days, first in shadow mode and then in Proposes mode; no autonomous execution; oversight, control, and apprenticeship count against the benefit.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Monitoring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team records improved times, exceptions, interventions, expert hours, and reconstruction of origin. The system remains technically capable; when oversight is performed in practice, the net advantage does not sustain that process and volume.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Final decision - October 15, 2050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Do not delegate. Do not renew even Proposes mode, activate exit, and retain an alternative. Davide signs and assumes a choice that forgoes a real benefit.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Alternative retained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Collection of approved clauses, exceptions identified at intake, earlier involvement of the expert, and protected hours for reconstructing cases.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Cost of saying no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Queued proposals, nonbillable hours, provider balance, lower margin, and one lost client. The business retains readable case files and more distributed competence.</w:t>
            </w:r>
          </w:p>
        </w:tc>
      </w:tr>
      <w:tr>
        <w:trPr>
          <w:cantSplit/>
        </w:trPr>
        <w:tc>
          <w:tcPr>
            <w:tcW w:type="dxa" w:w="2863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Responsible person and review</w:t>
            </w:r>
          </w:p>
        </w:tc>
        <w:tc>
          <w:tcPr>
            <w:tcW w:type="dxa" w:w="7361"/>
            <w:vAlign w:val="center"/>
            <w:tcMar>
              <w:top w:w="65" w:type="dxa"/>
              <w:start w:w="120" w:type="dxa"/>
              <w:bottom w:w="65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Davide. Closing record dated October 16, 2050; review scheduled for April 15, 2051.</w:t>
            </w:r>
          </w:p>
        </w:tc>
      </w:tr>
    </w:tbl>
    <w:p>
      <w:pPr>
        <w:spacing w:after="0"/>
      </w:pPr>
    </w:p>
    <w:p>
      <w:pPr>
        <w:pStyle w:val="Heading1"/>
        <w:spacing w:line="460" w:lineRule="exact"/>
      </w:pPr>
      <w:r>
        <w:t>Reopening: April 15, 2051</w:t>
        <w:rPr>
          <w:rFonts w:ascii="EB Garamond" w:hAnsi="EB Garamond" w:eastAsia="EB Garamond" w:cs="EB Garamond"/>
          <w:sz w:val="40"/>
          <w:szCs w:val="40"/>
          <w:color w:val="183445"/>
        </w:rPr>
      </w:r>
    </w:p>
    <w:p>
      <w:pPr>
        <w:keepLines w:val="0"/>
        <w:spacing w:line="270" w:lineRule="exact"/>
      </w:pPr>
      <w:r>
        <w:rPr>
          <w:rFonts w:ascii="EB Garamond" w:hAnsi="EB Garamond" w:eastAsia="EB Garamond" w:cs="EB Garamond"/>
          <w:color w:val="1F2D33"/>
          <w:sz w:val="21"/>
          <w:szCs w:val="21"/>
        </w:rPr>
        <w:t>Six months later, the review reopens the question while preserving the first decision and its reasons. Davide considers a narrower proposal through a new test, separate from purchase. He can still say no again.</w:t>
      </w:r>
    </w:p>
    <w:tbl>
      <w:tblPr>
        <w:tblW w:type="dxa" w:w="10224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5" w:space="0" w:color="C8D2D7"/>
          <w:left w:val="single" w:sz="5" w:space="0" w:color="C8D2D7"/>
          <w:bottom w:val="single" w:sz="5" w:space="0" w:color="C8D2D7"/>
          <w:right w:val="single" w:sz="5" w:space="0" w:color="C8D2D7"/>
          <w:insideH w:val="single" w:sz="5" w:space="0" w:color="C8D2D7"/>
          <w:insideV w:val="single" w:sz="5" w:space="0" w:color="C8D2D7"/>
        </w:tblBorders>
      </w:tblPr>
      <w:tblGrid>
        <w:gridCol w:w="2760"/>
        <w:gridCol w:w="7464"/>
      </w:tblGrid>
      <w:tr>
        <w:trPr>
          <w:tblHeader w:val="true"/>
          <w:cantSplit/>
        </w:trPr>
        <w:tc>
          <w:tcPr>
            <w:tcW w:type="dxa" w:w="27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Field</w:t>
            </w:r>
          </w:p>
        </w:tc>
        <w:tc>
          <w:tcPr>
            <w:tcW w:type="dxa" w:w="74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Reopening on April 15, 2051</w:t>
            </w:r>
          </w:p>
        </w:tc>
      </w:tr>
      <w:tr>
        <w:trPr>
          <w:cantSplit/>
        </w:trPr>
        <w:tc>
          <w:tcPr>
            <w:tcW w:type="dxa" w:w="27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New proposal</w:t>
            </w:r>
          </w:p>
        </w:tc>
        <w:tc>
          <w:tcPr>
            <w:tcW w:type="dxa" w:w="74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Search precedents without generating offers, at lower cost and with no access to open case files.</w:t>
            </w:r>
          </w:p>
        </w:tc>
      </w:tr>
      <w:tr>
        <w:trPr>
          <w:cantSplit/>
        </w:trPr>
        <w:tc>
          <w:tcPr>
            <w:tcW w:type="dxa" w:w="27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Test scope</w:t>
            </w:r>
          </w:p>
        </w:tc>
        <w:tc>
          <w:tcPr>
            <w:tcW w:type="dxa" w:w="74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New shadow test on closed cases; no purchase authorized and no external effect.</w:t>
            </w:r>
          </w:p>
        </w:tc>
      </w:tr>
      <w:tr>
        <w:trPr>
          <w:cantSplit/>
        </w:trPr>
        <w:tc>
          <w:tcPr>
            <w:tcW w:type="dxa" w:w="27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Evidence and costs</w:t>
            </w:r>
          </w:p>
        </w:tc>
        <w:tc>
          <w:tcPr>
            <w:tcW w:type="dxa" w:w="74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Waiting time, late corrections, margin, expert hours, oversight, training, and apprenticeship remain in the same account.</w:t>
            </w:r>
          </w:p>
        </w:tc>
      </w:tr>
      <w:tr>
        <w:trPr>
          <w:cantSplit/>
        </w:trPr>
        <w:tc>
          <w:tcPr>
            <w:tcW w:type="dxa" w:w="27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Threshold and stopping</w:t>
            </w:r>
          </w:p>
        </w:tc>
        <w:tc>
          <w:tcPr>
            <w:tcW w:type="dxa" w:w="74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The success criterion, responsible person, and stop authority are fixed before launch; the test can be stopped without purchasing the system.</w:t>
            </w:r>
          </w:p>
        </w:tc>
      </w:tr>
      <w:tr>
        <w:trPr>
          <w:cantSplit/>
        </w:trPr>
        <w:tc>
          <w:tcPr>
            <w:tcW w:type="dxa" w:w="27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Decision</w:t>
            </w:r>
          </w:p>
        </w:tc>
        <w:tc>
          <w:tcPr>
            <w:tcW w:type="dxa" w:w="746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  <w:t>Reopening the comparison does not revoke the first no. At the end, Do not delegate and the concrete possibility of saying no again remain available.</w:t>
            </w:r>
          </w:p>
        </w:tc>
      </w:tr>
    </w:tbl>
    <w:p>
      <w:pPr>
        <w:spacing w:after="0"/>
      </w:pPr>
    </w:p>
    <w:p>
      <w:pPr>
        <w:pStyle w:val="Heading1"/>
        <w:spacing w:line="460" w:lineRule="exact"/>
      </w:pPr>
      <w:r>
        <w:t>Transferable criterion</w:t>
        <w:rPr>
          <w:rFonts w:ascii="EB Garamond" w:hAnsi="EB Garamond" w:eastAsia="EB Garamond" w:cs="EB Garamond"/>
          <w:sz w:val="40"/>
          <w:szCs w:val="40"/>
          <w:color w:val="183445"/>
        </w:rPr>
      </w:r>
    </w:p>
    <w:tbl>
      <w:tblPr>
        <w:tblW w:type="dxa" w:w="10224"/>
        <w:jc w:val="left"/>
        <w:tblLayout w:type="fixed"/>
        <w:tblLook w:firstColumn="1" w:firstRow="1" w:lastColumn="0" w:lastRow="0" w:noHBand="0" w:noVBand="1" w:val="04A0"/>
        <w:tblInd w:w="150" w:type="dxa"/>
        <w:tblBorders>
          <w:top w:val="single" w:sz="7" w:space="0" w:color="B54B2A"/>
          <w:left w:val="single" w:sz="7" w:space="0" w:color="B54B2A"/>
          <w:bottom w:val="single" w:sz="7" w:space="0" w:color="B54B2A"/>
          <w:right w:val="single" w:sz="7" w:space="0" w:color="B54B2A"/>
          <w:insideH w:val="single" w:sz="7" w:space="0" w:color="B54B2A"/>
          <w:insideV w:val="single" w:sz="7" w:space="0" w:color="B54B2A"/>
        </w:tblBorders>
      </w:tblPr>
      <w:tblGrid>
        <w:gridCol w:w="10224"/>
      </w:tblGrid>
      <w:tr>
        <w:trPr>
          <w:cantSplit/>
        </w:trPr>
        <w:tc>
          <w:tcPr>
            <w:tcW w:type="dxa" w:w="10224"/>
            <w:shd w:fill="F7E7E0"/>
            <w:tcMar>
              <w:top w:w="120" w:type="dxa"/>
              <w:start w:w="150" w:type="dxa"/>
              <w:bottom w:w="120" w:type="dxa"/>
              <w:end w:w="150" w:type="dxa"/>
            </w:tcMar>
          </w:tcPr>
          <w:p>
            <w:pPr>
              <w:spacing w:after="40" w:line="210" w:lineRule="exact"/>
            </w:pPr>
            <w:r>
              <w:rPr>
                <w:rFonts w:ascii="EB Garamond" w:hAnsi="EB Garamond" w:eastAsia="EB Garamond" w:cs="EB Garamond"/>
                <w:b/>
                <w:color w:val="B04A35"/>
                <w:sz w:val="17"/>
                <w:szCs w:val="17"/>
              </w:rPr>
              <w:t xml:space="preserve">THE POINT OF THE CASE  </w:t>
            </w:r>
            <w:r>
              <w:rPr>
                <w:rFonts w:ascii="EB Garamond" w:hAnsi="EB Garamond" w:eastAsia="EB Garamond" w:cs="EB Garamond"/>
                <w:color w:val="1F2D33"/>
                <w:sz w:val="17"/>
                <w:szCs w:val="17"/>
              </w:rPr>
              <w:t>A useful product can still leave too little benefit to justify oversight and dependence in a particular process, including the work of exiting the service. Where a better organizational alternative exists, Do not delegate records the refusal of that power at that time. Keep the reasons and costs visible so the decision can be reopened.</w:t>
            </w:r>
          </w:p>
        </w:tc>
      </w:tr>
    </w:tbl>
    <w:p>
      <w:pPr>
        <w:spacing w:after="0"/>
      </w:pPr>
    </w:p>
    <w:p>
      <w:pPr>
        <w:pStyle w:val="Heading2"/>
        <w:spacing w:line="360" w:lineRule="exact"/>
      </w:pPr>
      <w:r>
        <w:t>Questions for transferring the case</w:t>
        <w:rPr>
          <w:rFonts w:ascii="EB Garamond" w:hAnsi="EB Garamond" w:eastAsia="EB Garamond" w:cs="EB Garamond"/>
          <w:sz w:val="30"/>
          <w:szCs w:val="30"/>
          <w:color w:val="B04A35"/>
        </w:rPr>
      </w:r>
    </w:p>
    <w:tbl>
      <w:tblPr>
        <w:tblW w:type="dxa" w:w="10224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5" w:space="0" w:color="C8D2D7"/>
          <w:left w:val="single" w:sz="5" w:space="0" w:color="C8D2D7"/>
          <w:bottom w:val="single" w:sz="5" w:space="0" w:color="C8D2D7"/>
          <w:right w:val="single" w:sz="5" w:space="0" w:color="C8D2D7"/>
          <w:insideH w:val="single" w:sz="5" w:space="0" w:color="C8D2D7"/>
          <w:insideV w:val="single" w:sz="5" w:space="0" w:color="C8D2D7"/>
        </w:tblBorders>
      </w:tblPr>
      <w:tblGrid>
        <w:gridCol w:w="5010"/>
        <w:gridCol w:w="5214"/>
      </w:tblGrid>
      <w:tr>
        <w:trPr>
          <w:tblHeader w:val="true"/>
          <w:cantSplit/>
        </w:trPr>
        <w:tc>
          <w:tcPr>
            <w:tcW w:type="dxa" w:w="501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Question</w:t>
            </w:r>
          </w:p>
        </w:tc>
        <w:tc>
          <w:tcPr>
            <w:tcW w:type="dxa" w:w="521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123044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FFFFFF"/>
                <w:sz w:val="17"/>
                <w:szCs w:val="17"/>
              </w:rPr>
              <w:t>Evidence to seek in your own context</w:t>
            </w:r>
          </w:p>
        </w:tc>
      </w:tr>
      <w:tr>
        <w:trPr>
          <w:cantSplit/>
          <w:trHeight w:val="520" w:hRule="atLeast"/>
        </w:trPr>
        <w:tc>
          <w:tcPr>
            <w:tcW w:type="dxa" w:w="501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Does the success criterion measure the need or only the volume produced?</w:t>
            </w:r>
          </w:p>
        </w:tc>
        <w:tc>
          <w:tcPr>
            <w:tcW w:type="dxa" w:w="521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501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Which power must remain in Assists or Proposes mode?</w:t>
            </w:r>
          </w:p>
        </w:tc>
        <w:tc>
          <w:tcPr>
            <w:tcW w:type="dxa" w:w="521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501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Who pays for oversight, training, waiting, and exit?</w:t>
            </w:r>
          </w:p>
        </w:tc>
        <w:tc>
          <w:tcPr>
            <w:tcW w:type="dxa" w:w="521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501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Which plausible error is elegant, convincing, and wrong at the decisive point?</w:t>
            </w:r>
          </w:p>
        </w:tc>
        <w:tc>
          <w:tcPr>
            <w:tcW w:type="dxa" w:w="521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501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Does the exit test also reconstruct configurations and permissions?</w:t>
            </w:r>
          </w:p>
        </w:tc>
        <w:tc>
          <w:tcPr>
            <w:tcW w:type="dxa" w:w="521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501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Which organizational alternative addresses the same need?</w:t>
            </w:r>
          </w:p>
        </w:tc>
        <w:tc>
          <w:tcPr>
            <w:tcW w:type="dxa" w:w="521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  <w:shd w:fill="EFF2F3"/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  <w:tr>
        <w:trPr>
          <w:cantSplit/>
          <w:trHeight w:val="520" w:hRule="atLeast"/>
        </w:trPr>
        <w:tc>
          <w:tcPr>
            <w:tcW w:type="dxa" w:w="501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10" w:lineRule="exact"/>
            </w:pPr>
            <w:r>
              <w:rPr>
                <w:rFonts w:ascii="EB Garamond" w:hAnsi="EB Garamond" w:eastAsia="EB Garamond" w:cs="EB Garamond"/>
                <w:b/>
                <w:color w:val="1F2D33"/>
                <w:sz w:val="17"/>
                <w:szCs w:val="17"/>
              </w:rPr>
              <w:t>What change would justify reopening without erasing the first no?</w:t>
            </w:r>
          </w:p>
        </w:tc>
        <w:tc>
          <w:tcPr>
            <w:tcW w:type="dxa" w:w="5214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 w:line="259" w:lineRule="auto"/>
            </w:pPr>
            <w:r>
              <w:rPr>
                <w:rFonts w:ascii="EB Garamond" w:hAnsi="EB Garamond" w:eastAsia="EB Garamond" w:cs="EB Garamond"/>
                <w:b w:val="0"/>
                <w:color w:val="1F2D33"/>
                <w:sz w:val="17"/>
                <w:szCs w:val="17"/>
              </w:rPr>
            </w:r>
          </w:p>
        </w:tc>
      </w:tr>
    </w:tbl>
    <w:p>
      <w:pPr>
        <w:spacing w:after="0"/>
      </w:pPr>
    </w:p>
    <w:sectPr>
      <w:headerReference w:type="default" r:id="rId9"/>
      <w:footerReference w:type="default" r:id="rId10"/>
      <w:footerReference w:type="first" r:id="rId11"/>
      <w:pgSz w:w="12240" w:h="15840"/>
      <w:pgMar w:top="1008" w:right="1008" w:bottom="1008" w:left="1008" w:header="432" w:footer="432" w:gutter="0"/>
      <w:cols w:space="720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EB Garamond">
    <w:altName w:val="Garamond"/>
    <w:charset w:val="00"/>
    <w:family w:val="auto"/>
    <w:pitch w:val="variable"/>
    <w:sig w:usb0="E00002FF" w:usb1="02000413" w:usb2="00000000" w:usb3="00000000" w:csb0="0000019F" w:csb1="00000000"/>
    <w:embedRegular r:id="rId1" w:fontKey="{8803E84C-4695-4705-838C-D4FC599F85E4}"/>
    <w:embedBold r:id="rId2" w:fontKey="{34828F21-0C39-43B1-A4DE-E08636D6C3A3}"/>
    <w:embedItalic r:id="rId3" w:fontKey="{16841129-51C1-4C09-BE4D-4D07B4C2C00A}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10152" w:val="left"/>
      </w:tabs>
      <w:spacing w:before="0" w:after="0" w:line="200" w:lineRule="exact"/>
    </w:pPr>
    <w:r>
      <w:rPr>
        <w:rFonts w:ascii="EB Garamond" w:hAnsi="EB Garamond" w:eastAsia="EB Garamond" w:cs="EB Garamond"/>
        <w:color w:val="65757D"/>
        <w:sz w:val="16"/>
        <w:szCs w:val="16"/>
      </w:rPr>
      <w:t>2050 - EN-US-R2.3 - Documentary snapshot July 2026</w:t>
    </w:r>
    <w:r>
      <w:tab/>
      <w:rPr>
        <w:rFonts w:ascii="EB Garamond" w:hAnsi="EB Garamond" w:eastAsia="EB Garamond" w:cs="EB Garamond"/>
        <w:sz w:val="16"/>
        <w:szCs w:val="16"/>
        <w:color w:val="65757D"/>
      </w:rPr>
    </w:r>
    <w:r>
      <w:rPr>
        <w:rFonts w:ascii="EB Garamond" w:hAnsi="EB Garamond" w:eastAsia="EB Garamond" w:cs="EB Garamond"/>
        <w:color w:val="65757D"/>
        <w:sz w:val="16"/>
        <w:szCs w:val="16"/>
      </w:rPr>
      <w:fldChar w:fldCharType="begin"/>
      <w:instrText xml:space="preserve"> PAGE </w:instrText>
      <w:fldChar w:fldCharType="separate"/>
      <w:t>1</w:t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spacing w:line="200" w:lineRule="exact"/>
    </w:pPr>
    <w:r>
      <w:rPr>
        <w:rFonts w:ascii="EB Garamond" w:hAnsi="EB Garamond" w:eastAsia="EB Garamond" w:cs="EB Garamond"/>
        <w:color w:val="65757D"/>
        <w:sz w:val="16"/>
        <w:szCs w:val="16"/>
      </w:rPr>
      <w:t>https://www.corneritaliano.com/en/2050/resources/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 w:line="200" w:lineRule="exact"/>
      <w:jc w:val="left"/>
    </w:pPr>
    <w:r>
      <w:rPr>
        <w:rFonts w:ascii="EB Garamond" w:hAnsi="EB Garamond" w:eastAsia="EB Garamond" w:cs="EB Garamond"/>
        <w:b/>
        <w:color w:val="65757D"/>
        <w:sz w:val="16"/>
        <w:szCs w:val="16"/>
      </w:rPr>
      <w:t xml:space="preserve">2050  |  OFFICIAL RESOURCES  |  </w:t>
    </w:r>
    <w:r>
      <w:rPr>
        <w:rFonts w:ascii="EB Garamond" w:hAnsi="EB Garamond" w:eastAsia="EB Garamond" w:cs="EB Garamond"/>
        <w:color w:val="65757D"/>
        <w:sz w:val="16"/>
        <w:szCs w:val="16"/>
      </w:rPr>
      <w:t>Davide Case - Full Record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EB Garamond" w:hAnsi="EB Garamond" w:eastAsia="EB Garamond" w:cs="EB Garamond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EB Garamond" w:hAnsi="EB Garamond" w:eastAsia="EB Garamond" w:cs="EB Garamond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EB Garamond" w:hAnsi="EB Garamond" w:eastAsia="EB Garamond" w:cs="EB Garamond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EB Garamond" w:hAnsi="EB Garamond" w:eastAsia="EB Garamond" w:cs="EB Garamond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embedTrueTypeFonts/>
  <w:saveSubsetFonts w:val="fals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EB Garamond" w:hAnsi="EB Garamond" w:eastAsia="EB Garamond" w:cs="EB Garamond"/>
        <w:sz w:val="21"/>
        <w:szCs w:val="21"/>
        <w:lang w:val="en-US" w:eastAsia="en-US" w:bidi="ar-SA"/>
        <w:color w:val="1F2D33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00" w:line="270" w:lineRule="exact"/>
    </w:pPr>
    <w:rPr>
      <w:rFonts w:ascii="EB Garamond" w:hAnsi="EB Garamond" w:eastAsia="EB Garamond" w:cs="EB Garamond"/>
      <w:color w:val="1F2D33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EB Garamond" w:hAnsi="EB Garamond" w:eastAsia="EB Garamond" w:cs="EB Garamond"/>
      <w:sz w:val="16"/>
      <w:szCs w:val="16"/>
      <w:color w:val="65757D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EB Garamond" w:hAnsi="EB Garamond" w:eastAsia="EB Garamond" w:cs="EB Garamond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EB Garamond" w:hAnsi="EB Garamond" w:eastAsia="EB Garamond" w:cs="EB Garamond"/>
      <w:sz w:val="16"/>
      <w:szCs w:val="16"/>
      <w:color w:val="65757D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EB Garamond" w:hAnsi="EB Garamond" w:eastAsia="EB Garamond" w:cs="EB Garamond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="EB Garamond" w:hAnsi="EB Garamond" w:eastAsia="EB Garamond" w:cs="EB Garamond"/>
      <w:b/>
      <w:bCs/>
      <w:color w:val="18344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="EB Garamond" w:hAnsi="EB Garamond" w:eastAsia="EB Garamond" w:cs="EB Garamond"/>
      <w:b/>
      <w:bCs/>
      <w:color w:val="B04A35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80"/>
      <w:outlineLvl w:val="2"/>
    </w:pPr>
    <w:rPr>
      <w:rFonts w:ascii="EB Garamond" w:hAnsi="EB Garamond" w:eastAsia="EB Garamond" w:cs="EB Garamond"/>
      <w:b/>
      <w:bCs/>
      <w:color w:val="183445"/>
      <w:sz w:val="23"/>
      <w:szCs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EB Garamond" w:hAnsi="EB Garamond" w:eastAsia="EB Garamond" w:cs="EB Garamond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EB Garamond" w:hAnsi="EB Garamond" w:eastAsia="EB Garamond" w:cs="EB Garamond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EB Garamond" w:hAnsi="EB Garamond" w:eastAsia="EB Garamond" w:cs="EB Garamond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EB Garamond" w:hAnsi="EB Garamond" w:eastAsia="EB Garamond" w:cs="EB Garamond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EB Garamond" w:hAnsi="EB Garamond" w:eastAsia="EB Garamond" w:cs="EB Garamond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EB Garamond" w:hAnsi="EB Garamond" w:eastAsia="EB Garamond" w:cs="EB Garamond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EB Garamond" w:hAnsi="EB Garamond" w:eastAsia="EB Garamond" w:cs="EB Garamond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EB Garamond" w:hAnsi="EB Garamond" w:eastAsia="EB Garamond" w:cs="EB Garamond"/>
    </w:rPr>
  </w:style>
  <w:style w:type="numbering" w:default="1" w:styleId="NoList">
    <w:name w:val="No List"/>
    <w:uiPriority w:val="99"/>
    <w:semiHidden/>
    <w:unhideWhenUsed/>
    <w:rPr>
      <w:rFonts w:ascii="EB Garamond" w:hAnsi="EB Garamond" w:eastAsia="EB Garamond" w:cs="EB Garamond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EB Garamond" w:hAnsi="EB Garamond" w:eastAsia="EB Garamond" w:cs="EB Garamond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EB Garamond" w:hAnsi="EB Garamond" w:eastAsia="EB Garamond" w:cs="EB Garamond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EB Garamond" w:hAnsi="EB Garamond" w:eastAsia="EB Garamond" w:cs="EB Garamond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EB Garamond" w:hAnsi="EB Garamond" w:eastAsia="EB Garamond" w:cs="EB Garamond"/>
      <w:b/>
      <w:bCs/>
      <w:color w:val="4F81BD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="EB Garamond" w:hAnsi="EB Garamond" w:eastAsia="EB Garamond" w:cs="EB Garamond"/>
      <w:b/>
      <w:color w:val="183445"/>
      <w:spacing w:val="5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EB Garamond" w:hAnsi="EB Garamond" w:eastAsia="EB Garamond" w:cs="EB Garamond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240"/>
    </w:pPr>
    <w:rPr>
      <w:rFonts w:ascii="EB Garamond" w:hAnsi="EB Garamond" w:eastAsia="EB Garamond" w:cs="EB Garamond"/>
      <w:b w:val="0"/>
      <w:i/>
      <w:iCs/>
      <w:color w:val="5A686F"/>
      <w:spacing w:val="15"/>
      <w:sz w:val="26"/>
      <w:szCs w:val="26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EB Garamond" w:hAnsi="EB Garamond" w:eastAsia="EB Garamond" w:cs="EB Garamond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EB Garamond" w:hAnsi="EB Garamond" w:eastAsia="EB Garamond" w:cs="EB Garamond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EB Garamond" w:hAnsi="EB Garamond" w:eastAsia="EB Garamond" w:cs="EB Garamond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EB Garamond" w:hAnsi="EB Garamond" w:eastAsia="EB Garamond" w:cs="EB Garamond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EB Garamond" w:hAnsi="EB Garamond" w:eastAsia="EB Garamond" w:cs="EB Garamond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EB Garamond" w:hAnsi="EB Garamond" w:eastAsia="EB Garamond" w:cs="EB Garamond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rFonts w:ascii="EB Garamond" w:hAnsi="EB Garamond" w:eastAsia="EB Garamond" w:cs="EB Garamond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rFonts w:ascii="EB Garamond" w:hAnsi="EB Garamond" w:eastAsia="EB Garamond" w:cs="EB Garamond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EB Garamond" w:hAnsi="EB Garamond" w:eastAsia="EB Garamond" w:cs="EB Garamond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EB Garamond" w:hAnsi="EB Garamond" w:eastAsia="EB Garamond" w:cs="EB Garamond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EB Garamond" w:hAnsi="EB Garamond" w:eastAsia="EB Garamond" w:cs="EB Garamond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EB Garamond" w:hAnsi="EB Garamond" w:eastAsia="EB Garamond" w:cs="EB Garamond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EB Garamond" w:hAnsi="EB Garamond" w:eastAsia="EB Garamond" w:cs="EB Garamond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EB Garamond" w:hAnsi="EB Garamond" w:eastAsia="EB Garamond" w:cs="EB Garamond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EB Garamond" w:hAnsi="EB Garamond" w:eastAsia="EB Garamond" w:cs="EB Garamond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EB Garamond" w:hAnsi="EB Garamond" w:eastAsia="EB Garamond" w:cs="EB Garamond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EB Garamond" w:hAnsi="EB Garamond" w:eastAsia="EB Garamond" w:cs="EB Garamond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EB Garamond" w:hAnsi="EB Garamond" w:eastAsia="EB Garamond" w:cs="EB Garamond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EB Garamond" w:hAnsi="EB Garamond" w:eastAsia="EB Garamond" w:cs="EB Garamond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EB Garamond" w:hAnsi="EB Garamond" w:eastAsia="EB Garamond" w:cs="EB Garamond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EB Garamond" w:hAnsi="EB Garamond" w:eastAsia="EB Garamond" w:cs="EB Garamond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EB Garamond" w:hAnsi="EB Garamond" w:eastAsia="EB Garamond" w:cs="EB Garamond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/>
      <w:rFonts w:ascii="EB Garamond" w:hAnsi="EB Garamond" w:eastAsia="EB Garamond" w:cs="EB Garamond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/>
      <w:rFonts w:ascii="EB Garamond" w:hAnsi="EB Garamond" w:eastAsia="EB Garamond" w:cs="EB Garamon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EB Garamond" w:hAnsi="EB Garamond" w:eastAsia="EB Garamond" w:cs="EB Garamond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EB Garamond" w:hAnsi="EB Garamond" w:eastAsia="EB Garamond" w:cs="EB Garamond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EB Garamond" w:hAnsi="EB Garamond" w:eastAsia="EB Garamond" w:cs="EB Garamond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EB Garamond" w:hAnsi="EB Garamond" w:eastAsia="EB Garamond" w:cs="EB Garamond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EB Garamond" w:hAnsi="EB Garamond" w:eastAsia="EB Garamond" w:cs="EB Garamond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EB Garamond" w:hAnsi="EB Garamond" w:eastAsia="EB Garamond" w:cs="EB Garamond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/>
      <w:sz w:val="18"/>
      <w:szCs w:val="18"/>
      <w:rFonts w:ascii="EB Garamond" w:hAnsi="EB Garamond" w:eastAsia="EB Garamond" w:cs="EB Garamond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rFonts w:ascii="EB Garamond" w:hAnsi="EB Garamond" w:eastAsia="EB Garamond" w:cs="EB Garamond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rFonts w:ascii="EB Garamond" w:hAnsi="EB Garamond" w:eastAsia="EB Garamond" w:cs="EB Garamond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  <w:rFonts w:ascii="EB Garamond" w:hAnsi="EB Garamond" w:eastAsia="EB Garamond" w:cs="EB Garamon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/>
      <w:rFonts w:ascii="EB Garamond" w:hAnsi="EB Garamond" w:eastAsia="EB Garamond" w:cs="EB Garamon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/>
      <w:rFonts w:ascii="EB Garamond" w:hAnsi="EB Garamond" w:eastAsia="EB Garamond" w:cs="EB Garamond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/>
      <w:rFonts w:ascii="EB Garamond" w:hAnsi="EB Garamond" w:eastAsia="EB Garamond" w:cs="EB Garamon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/>
      <w:u w:val="single"/>
      <w:rFonts w:ascii="EB Garamond" w:hAnsi="EB Garamond" w:eastAsia="EB Garamond" w:cs="EB Garamond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/>
      <w:spacing w:val="5"/>
      <w:u w:val="single"/>
      <w:rFonts w:ascii="EB Garamond" w:hAnsi="EB Garamond" w:eastAsia="EB Garamond" w:cs="EB Garamond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rFonts w:ascii="EB Garamond" w:hAnsi="EB Garamond" w:eastAsia="EB Garamond" w:cs="EB Garamon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EB Garamond" w:hAnsi="EB Garamond" w:eastAsia="EB Garamond" w:cs="EB Garamond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EB Garamond" w:hAnsi="EB Garamond" w:eastAsia="EB Garamond" w:cs="EB Garamond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EB Garamond" w:hAnsi="EB Garamond" w:eastAsia="EB Garamond" w:cs="EB Garamond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EB Garamond" w:hAnsi="EB Garamond" w:eastAsia="EB Garamond" w:cs="EB Garamond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EB Garamond" w:hAnsi="EB Garamond" w:eastAsia="EB Garamond" w:cs="EB Garamond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EB Garamond" w:hAnsi="EB Garamond" w:eastAsia="EB Garamond" w:cs="EB Garamond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EB Garamond" w:hAnsi="EB Garamond" w:eastAsia="EB Garamond" w:cs="EB Garamond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EB Garamond" w:hAnsi="EB Garamond" w:eastAsia="EB Garamond" w:cs="EB Garamond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EB Garamond" w:hAnsi="EB Garamond" w:eastAsia="EB Garamond" w:cs="EB Garamond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EB Garamond" w:hAnsi="EB Garamond" w:eastAsia="EB Garamond" w:cs="EB Garamond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EB Garamond" w:hAnsi="EB Garamond" w:eastAsia="EB Garamond" w:cs="EB Garamond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EB Garamond" w:hAnsi="EB Garamond" w:eastAsia="EB Garamond" w:cs="EB Garamond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EB Garamond" w:hAnsi="EB Garamond" w:eastAsia="EB Garamond" w:cs="EB Garamond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EB Garamond" w:hAnsi="EB Garamond" w:eastAsia="EB Garamond" w:cs="EB Garamond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EB Garamond" w:hAnsi="EB Garamond" w:eastAsia="EB Garamond" w:cs="EB Garamond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EB Garamond" w:hAnsi="EB Garamond" w:eastAsia="EB Garamond" w:cs="EB Garamond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EB Garamond" w:hAnsi="EB Garamond" w:eastAsia="EB Garamond" w:cs="EB Garamond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EB Garamond" w:hAnsi="EB Garamond" w:eastAsia="EB Garamond" w:cs="EB Garamond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EB Garamond" w:hAnsi="EB Garamond" w:eastAsia="EB Garamond" w:cs="EB Garamond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EB Garamond" w:hAnsi="EB Garamond" w:eastAsia="EB Garamond" w:cs="EB Garamond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EB Garamond" w:hAnsi="EB Garamond" w:eastAsia="EB Garamond" w:cs="EB Garamond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EB Garamond" w:hAnsi="EB Garamond" w:eastAsia="EB Garamond" w:cs="EB Garamond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EB Garamond" w:hAnsi="EB Garamond" w:eastAsia="EB Garamond" w:cs="EB Garamond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EB Garamond" w:hAnsi="EB Garamond" w:eastAsia="EB Garamond" w:cs="EB Garamond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EB Garamond" w:hAnsi="EB Garamond" w:eastAsia="EB Garamond" w:cs="EB Garamond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EB Garamond" w:hAnsi="EB Garamond" w:eastAsia="EB Garamond" w:cs="EB Garamond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EB Garamond" w:hAnsi="EB Garamond" w:eastAsia="EB Garamond" w:cs="EB Garamond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EB Garamond" w:hAnsi="EB Garamond" w:eastAsia="EB Garamond" w:cs="EB Garamond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EB Garamond" w:hAnsi="EB Garamond" w:eastAsia="EB Garamond" w:cs="EB Garamond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EB Garamond" w:hAnsi="EB Garamond" w:eastAsia="EB Garamond" w:cs="EB Garamond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EB Garamond" w:hAnsi="EB Garamond" w:eastAsia="EB Garamond" w:cs="EB Garamond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99999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8CCE4" w:themeFill="accent1" w:themeFillTint="66"/>
      </w:tcPr>
    </w:tblStylePr>
    <w:tblStylePr w:type="firstCol">
      <w:rPr>
        <w:color w:val="FFFFFF"/>
      </w:rPr>
      <w:tblPr/>
      <w:tcPr>
        <w:shd w:val="clear" w:color="auto" w:fill="365F91" w:themeFill="accent1" w:themeFillShade="BF"/>
      </w:tcPr>
    </w:tblStylePr>
    <w:tblStylePr w:type="lastCol">
      <w:rPr>
        <w:color w:val="FFFFFF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5B8B7" w:themeFill="accent2" w:themeFillTint="66"/>
      </w:tcPr>
    </w:tblStylePr>
    <w:tblStylePr w:type="firstCol">
      <w:rPr>
        <w:color w:val="FFFFFF"/>
      </w:rPr>
      <w:tblPr/>
      <w:tcPr>
        <w:shd w:val="clear" w:color="auto" w:fill="943634" w:themeFill="accent2" w:themeFillShade="BF"/>
      </w:tcPr>
    </w:tblStylePr>
    <w:tblStylePr w:type="lastCol">
      <w:rPr>
        <w:color w:val="FFFFFF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6E3BC" w:themeFill="accent3" w:themeFillTint="66"/>
      </w:tcPr>
    </w:tblStylePr>
    <w:tblStylePr w:type="firstCol">
      <w:rPr>
        <w:color w:val="FFFFFF"/>
      </w:rPr>
      <w:tblPr/>
      <w:tcPr>
        <w:shd w:val="clear" w:color="auto" w:fill="76923C" w:themeFill="accent3" w:themeFillShade="BF"/>
      </w:tcPr>
    </w:tblStylePr>
    <w:tblStylePr w:type="lastCol">
      <w:rPr>
        <w:color w:val="FFFFFF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CCC0D9" w:themeFill="accent4" w:themeFillTint="66"/>
      </w:tcPr>
    </w:tblStylePr>
    <w:tblStylePr w:type="firstCol">
      <w:rPr>
        <w:color w:val="FFFFFF"/>
      </w:rPr>
      <w:tblPr/>
      <w:tcPr>
        <w:shd w:val="clear" w:color="auto" w:fill="5F497A" w:themeFill="accent4" w:themeFillShade="BF"/>
      </w:tcPr>
    </w:tblStylePr>
    <w:tblStylePr w:type="lastCol">
      <w:rPr>
        <w:color w:val="FFFFFF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6DDE8" w:themeFill="accent5" w:themeFillTint="66"/>
      </w:tcPr>
    </w:tblStylePr>
    <w:tblStylePr w:type="firstCol">
      <w:rPr>
        <w:color w:val="FFFFFF"/>
      </w:rPr>
      <w:tblPr/>
      <w:tcPr>
        <w:shd w:val="clear" w:color="auto" w:fill="31849B" w:themeFill="accent5" w:themeFillShade="BF"/>
      </w:tcPr>
    </w:tblStylePr>
    <w:tblStylePr w:type="lastCol">
      <w:rPr>
        <w:color w:val="FFFFFF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/>
      <w:rFonts w:ascii="EB Garamond" w:hAnsi="EB Garamond" w:eastAsia="EB Garamond" w:cs="EB Garamond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BD4B4" w:themeFill="accent6" w:themeFillTint="66"/>
      </w:tcPr>
    </w:tblStylePr>
    <w:tblStylePr w:type="firstCol">
      <w:rPr>
        <w:color w:val="FFFFFF"/>
      </w:rPr>
      <w:tblPr/>
      <w:tcPr>
        <w:shd w:val="clear" w:color="auto" w:fill="E36C0A" w:themeFill="accent6" w:themeFillShade="BF"/>
      </w:tcPr>
    </w:tblStylePr>
    <w:tblStylePr w:type="lastCol">
      <w:rPr>
        <w:color w:val="FFFFFF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EB Garamond" w:hAnsi="EB Garamond" w:eastAsia="EB Garamond" w:cs="EB Garamond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EB Garamond" w:hAnsi="EB Garamond" w:eastAsia="EB Garamond" w:cs="EB Garamond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EB Garamond" w:hAnsi="EB Garamond" w:eastAsia="EB Garamond" w:cs="EB Garamond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EB Garamond" w:hAnsi="EB Garamond" w:eastAsia="EB Garamond" w:cs="EB Garamond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EB Garamond" w:hAnsi="EB Garamond" w:eastAsia="EB Garamond" w:cs="EB Garamond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EB Garamond" w:hAnsi="EB Garamond" w:eastAsia="EB Garamond" w:cs="EB Garamond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EB Garamond" w:hAnsi="EB Garamond" w:eastAsia="EB Garamond" w:cs="EB Garamond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EB Garamond" w:hAnsi="EB Garamond" w:eastAsia="EB Garamond" w:cs="EB Garamond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EB Garamond" w:hAnsi="EB Garamond" w:eastAsia="EB Garamond" w:cs="EB Garamond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EB Garamond" w:hAnsi="EB Garamond" w:eastAsia="EB Garamond" w:cs="EB Garamond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EB Garamond" w:hAnsi="EB Garamond" w:eastAsia="EB Garamond" w:cs="EB Garamond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EB Garamond" w:hAnsi="EB Garamond" w:eastAsia="EB Garamond" w:cs="EB Garamond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EB Garamond" w:hAnsi="EB Garamond" w:eastAsia="EB Garamond" w:cs="EB Garamond"/>
      <w:b/>
      <w:bCs/>
      <w:color w:val="4F81BD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EB Garamond" w:hAnsi="EB Garamond" w:eastAsia="EB Garamond" w:cs="EB Garamond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EB Garamond" w:hAnsi="EB Garamond" w:eastAsia="EB Garamond" w:cs="EB Garamond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EB Garamond" w:hAnsi="EB Garamond" w:eastAsia="EB Garamond" w:cs="EB Garamond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EB Garamond" w:hAnsi="EB Garamond" w:eastAsia="EB Garamond" w:cs="EB Garamond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EB Garamond" w:hAnsi="EB Garamond" w:eastAsia="EB Garamond" w:cs="EB Garamond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EB Garamond" w:hAnsi="EB Garamond" w:eastAsia="EB Garamond" w:cs="EB Garamond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EB Garamond" w:hAnsi="EB Garamond" w:eastAsia="EB Garamond" w:cs="EB Garamond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EB Garamond" w:hAnsi="EB Garamond" w:eastAsia="EB Garamond" w:cs="EB Garamond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EB Garamond" w:hAnsi="EB Garamond" w:eastAsia="EB Garamond" w:cs="EB Garamond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EB Garamond" w:hAnsi="EB Garamond" w:eastAsia="EB Garamond" w:cs="EB Garamond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EB Garamond" w:hAnsi="EB Garamond" w:eastAsia="EB Garamond" w:cs="EB Garamond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EB Garamond" w:hAnsi="EB Garamond" w:eastAsia="EB Garamond" w:cs="EB Garamond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EB Garamond" w:hAnsi="EB Garamond" w:eastAsia="EB Garamond" w:cs="EB Garamond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EB Garamond" w:hAnsi="EB Garamond" w:eastAsia="EB Garamond" w:cs="EB Garamond"/>
        <w:b/>
        <w:bCs/>
      </w:rPr>
    </w:tblStylePr>
    <w:tblStylePr w:type="lastCol">
      <w:rPr>
        <w:rFonts w:ascii="EB Garamond" w:hAnsi="EB Garamond" w:eastAsia="EB Garamond" w:cs="EB Garamond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EB Garamond" w:hAnsi="EB Garamond" w:eastAsia="EB Garamond" w:cs="EB Garamond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EB Garamond" w:hAnsi="EB Garamond" w:eastAsia="EB Garamond" w:cs="EB Garamond"/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99999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8CCE4" w:themeFill="accent1" w:themeFillTint="66"/>
      </w:tcPr>
    </w:tblStylePr>
    <w:tblStylePr w:type="firstCol">
      <w:rPr>
        <w:color w:val="FFFFFF"/>
      </w:rPr>
      <w:tblPr/>
      <w:tcPr>
        <w:shd w:val="clear" w:color="auto" w:fill="365F91" w:themeFill="accent1" w:themeFillShade="BF"/>
      </w:tcPr>
    </w:tblStylePr>
    <w:tblStylePr w:type="lastCol">
      <w:rPr>
        <w:color w:val="FFFFFF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5B8B7" w:themeFill="accent2" w:themeFillTint="66"/>
      </w:tcPr>
    </w:tblStylePr>
    <w:tblStylePr w:type="firstCol">
      <w:rPr>
        <w:color w:val="FFFFFF"/>
      </w:rPr>
      <w:tblPr/>
      <w:tcPr>
        <w:shd w:val="clear" w:color="auto" w:fill="943634" w:themeFill="accent2" w:themeFillShade="BF"/>
      </w:tcPr>
    </w:tblStylePr>
    <w:tblStylePr w:type="lastCol">
      <w:rPr>
        <w:color w:val="FFFFFF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6E3BC" w:themeFill="accent3" w:themeFillTint="66"/>
      </w:tcPr>
    </w:tblStylePr>
    <w:tblStylePr w:type="firstCol">
      <w:rPr>
        <w:color w:val="FFFFFF"/>
      </w:rPr>
      <w:tblPr/>
      <w:tcPr>
        <w:shd w:val="clear" w:color="auto" w:fill="76923C" w:themeFill="accent3" w:themeFillShade="BF"/>
      </w:tcPr>
    </w:tblStylePr>
    <w:tblStylePr w:type="lastCol">
      <w:rPr>
        <w:color w:val="FFFFFF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CCC0D9" w:themeFill="accent4" w:themeFillTint="66"/>
      </w:tcPr>
    </w:tblStylePr>
    <w:tblStylePr w:type="firstCol">
      <w:rPr>
        <w:color w:val="FFFFFF"/>
      </w:rPr>
      <w:tblPr/>
      <w:tcPr>
        <w:shd w:val="clear" w:color="auto" w:fill="5F497A" w:themeFill="accent4" w:themeFillShade="BF"/>
      </w:tcPr>
    </w:tblStylePr>
    <w:tblStylePr w:type="lastCol">
      <w:rPr>
        <w:color w:val="FFFFFF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6DDE8" w:themeFill="accent5" w:themeFillTint="66"/>
      </w:tcPr>
    </w:tblStylePr>
    <w:tblStylePr w:type="firstCol">
      <w:rPr>
        <w:color w:val="FFFFFF"/>
      </w:rPr>
      <w:tblPr/>
      <w:tcPr>
        <w:shd w:val="clear" w:color="auto" w:fill="31849B" w:themeFill="accent5" w:themeFillShade="BF"/>
      </w:tcPr>
    </w:tblStylePr>
    <w:tblStylePr w:type="lastCol">
      <w:rPr>
        <w:color w:val="FFFFFF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BD4B4" w:themeFill="accent6" w:themeFillTint="66"/>
      </w:tcPr>
    </w:tblStylePr>
    <w:tblStylePr w:type="firstCol">
      <w:rPr>
        <w:color w:val="FFFFFF"/>
      </w:rPr>
      <w:tblPr/>
      <w:tcPr>
        <w:shd w:val="clear" w:color="auto" w:fill="E36C0A" w:themeFill="accent6" w:themeFillShade="BF"/>
      </w:tcPr>
    </w:tblStylePr>
    <w:tblStylePr w:type="lastCol">
      <w:rPr>
        <w:color w:val="FFFFFF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footer" Target="footer2.xml"/><Relationship Id="rId12" Type="http://schemas.openxmlformats.org/officeDocument/2006/relationships/image" Target="media/image1.png"/><Relationship Id="rId13" Type="http://schemas.openxmlformats.org/officeDocument/2006/relationships/hyperlink" Target="https://www.corneritaliano.com/en/2050/resources/" TargetMode="External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EBGaramond-Regular.odttf"/><Relationship Id="rId2" Type="http://schemas.openxmlformats.org/officeDocument/2006/relationships/font" Target="fonts/EBGaramond-Bold.odttf"/><Relationship Id="rId3" Type="http://schemas.openxmlformats.org/officeDocument/2006/relationships/font" Target="fonts/EBGaramond-Italic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EB Garamond"/>
        <a:ea typeface="EB Garamond"/>
        <a:cs typeface="EB Garamond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EB Garamond"/>
        <a:ea typeface="EB Garamond"/>
        <a:cs typeface="EB Garamond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Davide Case - Full Record</dc:title>
  <dc:subject>2050 Resource version EN-US-R2.3 | LETTER</dc:subject>
  <dc:creator>Marco De Prosperis</dc:creator>
  <cp:keywords>2050, EN-US-R2.3, July 2026 documentary snapshot, revised English interior</cp:keywords>
  <dc:description>EN-US-R2.3 resources verified against the English V51.2 interior. This release updates version labels and release documentation; substantive resource text is unchanged.</dc:description>
  <cp:lastModifiedBy>Corner Italiano LLC</cp:lastModifiedBy>
  <cp:revision>2</cp:revision>
  <dcterms:created xsi:type="dcterms:W3CDTF">2013-12-23T23:15:00Z</dcterms:created>
  <dcterms:modified xsi:type="dcterms:W3CDTF">2026-09-10T15:55:33Z</dcterms:modified>
  <cp:category/>
</cp:coreProperties>
</file>