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tipo e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RECURSOS OFICIALES</w:t>
      </w:r>
    </w:p>
    <w:p>
      <w:pPr>
        <w:pStyle w:val="Title"/>
        <w:jc w:val="center"/>
      </w:pPr>
      <w:r>
        <w:rPr>
          <w:rFonts w:ascii="DejaVu Sans" w:hAnsi="DejaVu Sans" w:eastAsia="DejaVu Sans"/>
          <w:b/>
          <w:color w:val="123044"/>
          <w:sz w:val="56"/>
        </w:rPr>
        <w:t>Protocolo avanzado de prueba con dos sistemas</w:t>
      </w:r>
    </w:p>
    <w:p>
      <w:pPr>
        <w:pStyle w:val="Subtitle"/>
        <w:jc w:val="center"/>
      </w:pPr>
      <w:r>
        <w:rPr>
          <w:rFonts w:ascii="DejaVu Sans" w:hAnsi="DejaVu Sans" w:eastAsia="DejaVu Sans"/>
          <w:color w:val="5D6870"/>
          <w:sz w:val="25"/>
        </w:rPr>
        <w:t>Cómo utilizar un segundo sistema sin convertirlo en una aprobación automática</w:t>
      </w:r>
    </w:p>
    <w:p>
      <w:pPr>
        <w:spacing w:before="440"/>
        <w:jc w:val="center"/>
      </w:pPr>
      <w:r>
        <w:rPr>
          <w:rFonts w:ascii="DejaVu Sans" w:hAnsi="DejaVu Sans" w:eastAsia="DejaVu Sans"/>
          <w:b/>
          <w:color w:val="B54B2A"/>
          <w:sz w:val="17"/>
        </w:rPr>
        <w:t>PROTOCOLO OPERATIVO AMPLIADO</w:t>
      </w:r>
    </w:p>
    <w:p>
      <w:pPr>
        <w:jc w:val="center"/>
      </w:pPr>
      <w:r>
        <w:rPr>
          <w:rFonts w:ascii="DejaVu Sans" w:hAnsi="DejaVu Sans" w:eastAsia="DejaVu Sans"/>
          <w:color w:val="234C61"/>
          <w:sz w:val="19"/>
        </w:rPr>
        <w:t>Instantánea de la edición en español - julio de 2026 - Formato A4</w:t>
      </w:r>
    </w:p>
    <w:p>
      <w:pPr>
        <w:spacing w:before="360"/>
        <w:jc w:val="center"/>
      </w:pPr>
      <w:hyperlink r:id="rId13">
        <w:r>
          <w:rPr>
            <w:rFonts w:ascii="DejaVu Sans" w:hAnsi="DejaVu Sans" w:eastAsia="DejaVu Sans"/>
            <w:color w:val="234C61"/>
            <w:u w:val="single"/>
            <w:sz w:val="18"/>
          </w:rPr>
          <w:t>https://www.corneritaliano.com/es/2050/recursos/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blHeader/>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REGLA FUNDAMENTAL  </w:t>
            </w:r>
            <w:r>
              <w:rPr>
                <w:rFonts w:ascii="DejaVu Sans" w:hAnsi="DejaVu Sans" w:eastAsia="DejaVu Sans"/>
                <w:color w:val="1E2528"/>
                <w:sz w:val="18"/>
              </w:rPr>
              <w:t>Un segundo sistema puede buscar errores o condiciones contrarias; no constituye una verificación independiente solo por tener un nombre, modelo o proveedor distinto. Es evidencia adjunta a la Prueba, no una segunda Prueba ni una forma de sumar votos.</w:t>
            </w:r>
          </w:p>
        </w:tc>
      </w:tr>
    </w:tbl>
    <w:p>
      <w:pPr>
        <w:spacing w:after="0"/>
      </w:pPr>
    </w:p>
    <w:p>
      <w:pPr>
        <w:keepLines w:val="0"/>
      </w:pPr>
      <w:r>
        <w:rPr>
          <w:rFonts w:ascii="DejaVu Sans" w:hAnsi="DejaVu Sans" w:eastAsia="DejaVu Sans"/>
          <w:color w:val="1E2528"/>
          <w:sz w:val="18"/>
        </w:rPr>
        <w:t>Antes de utilizarlo, defina el resultado legítimo, las acciones prohibidas, los grupos expuestos, el tiempo hasta el daño, la divergencia capaz de cambiar el resultado, la persona responsable y la condición de interrupción. Pruebe primero en modo sombra con casos adversos y, solo después, si se justifica, con un volumen limitado y reversible. Un segundo sistema no resuelve por sí solo los conflictos de valores, el acceso desigual, la capacidad organizativa insuficiente ni la ausencia de Recurso.</w:t>
      </w:r>
    </w:p>
    <w:p>
      <w:pPr>
        <w:pStyle w:val="Heading1"/>
      </w:pPr>
      <w:r>
        <w:t>1. Propósito y límites</w:t>
      </w:r>
    </w:p>
    <w:p>
      <w:pPr>
        <w:keepLines w:val="0"/>
      </w:pPr>
      <w:r>
        <w:rPr>
          <w:rFonts w:ascii="DejaVu Sans" w:hAnsi="DejaVu Sans" w:eastAsia="DejaVu Sans"/>
          <w:color w:val="1E2528"/>
          <w:sz w:val="18"/>
        </w:rPr>
        <w:t>El protocolo se utiliza cuando una organización desea combinar su sistema principal con un segundo sistema capaz de buscar errores, condiciones contrarias o motivos para reabrir el caso. El segundo sistema produce evidencia adicional; no sustituye la Prueba 2050, el juicio competente, el Recurso ni la autoridad para detener.</w:t>
      </w:r>
    </w:p>
    <w:p>
      <w:pPr>
        <w:keepLines w:val="0"/>
      </w:pPr>
      <w:r>
        <w:rPr>
          <w:rFonts w:ascii="DejaVu Sans" w:hAnsi="DejaVu Sans" w:eastAsia="DejaVu Sans"/>
          <w:color w:val="1E2528"/>
          <w:sz w:val="18"/>
        </w:rPr>
        <w:t>El acuerdo entre los sistemas no demuestra que un resultado sea correcto. El desacuerdo no autoriza un promedio automático. Ambos pueden depender de las mismas fuentes, datos, etiquetas o infraestructura y, por ello, fallar de la misma manera.</w:t>
      </w:r>
    </w:p>
    <w:p>
      <w:pPr>
        <w:pStyle w:val="Heading1"/>
      </w:pPr>
      <w:r>
        <w:t>2. Funciones y separación de responsabilidades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472"/>
        <w:gridCol w:w="7418"/>
      </w:tblGrid>
      <w:tr>
        <w:trPr>
          <w:tblHeader w:val="true"/>
          <w:cantSplit/>
        </w:trPr>
        <w:tc>
          <w:tcPr>
            <w:tcW w:type="dxa" w:w="2472"/>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Función</w:t>
            </w:r>
          </w:p>
        </w:tc>
        <w:tc>
          <w:tcPr>
            <w:tcW w:type="dxa" w:w="741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Responsabilidad mínima</w:t>
            </w:r>
          </w:p>
        </w:tc>
      </w:tr>
      <w:tr>
        <w:trPr>
          <w:cantSplit/>
        </w:trPr>
        <w:tc>
          <w:tcPr>
            <w:tcW w:type="dxa" w:w="2472"/>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Titular de la Prueba</w:t>
            </w:r>
          </w:p>
        </w:tc>
        <w:tc>
          <w:tcPr>
            <w:tcW w:type="dxa" w:w="741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Define el problema, el Mandato, los umbrales no compensables y la decisión organizativa. No delega la aprobación en los dos sistemas.</w:t>
            </w:r>
          </w:p>
        </w:tc>
      </w:tr>
      <w:tr>
        <w:trPr>
          <w:cantSplit/>
        </w:trPr>
        <w:tc>
          <w:tcPr>
            <w:tcW w:type="dxa" w:w="2472"/>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Sistema A</w:t>
            </w:r>
          </w:p>
        </w:tc>
        <w:tc>
          <w:tcPr>
            <w:tcW w:type="dxa" w:w="741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Realiza la tarea dentro del alcance experimental y conserva entradas, versión, resultados, fuentes e incertidumbre.</w:t>
            </w:r>
          </w:p>
        </w:tc>
      </w:tr>
      <w:tr>
        <w:trPr>
          <w:cantSplit/>
        </w:trPr>
        <w:tc>
          <w:tcPr>
            <w:tcW w:type="dxa" w:w="2472"/>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Sistema B</w:t>
            </w:r>
          </w:p>
        </w:tc>
        <w:tc>
          <w:tcPr>
            <w:tcW w:type="dxa" w:w="741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Busca errores, condiciones contrarias o evidencia que pueda cambiar el resultado; no promedia su respuesta con A.</w:t>
            </w:r>
          </w:p>
        </w:tc>
      </w:tr>
      <w:tr>
        <w:trPr>
          <w:cantSplit/>
        </w:trPr>
        <w:tc>
          <w:tcPr>
            <w:tcW w:type="dxa" w:w="2472"/>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Responsable de la prueba</w:t>
            </w:r>
          </w:p>
        </w:tc>
        <w:tc>
          <w:tcPr>
            <w:tcW w:type="dxa" w:w="741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Mantiene separados datos, registros, configuraciones y accesos; documenta las dependencias comunes y las divergencias.</w:t>
            </w:r>
          </w:p>
        </w:tc>
      </w:tr>
      <w:tr>
        <w:trPr>
          <w:cantSplit/>
        </w:trPr>
        <w:tc>
          <w:tcPr>
            <w:tcW w:type="dxa" w:w="2472"/>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Persona revisora competente</w:t>
            </w:r>
          </w:p>
        </w:tc>
        <w:tc>
          <w:tcPr>
            <w:tcW w:type="dxa" w:w="741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Reconstruye el punto controvertido dentro de la ventana de control disponible y puede restringir, suspender o interrumpir.</w:t>
            </w:r>
          </w:p>
        </w:tc>
      </w:tr>
      <w:tr>
        <w:trPr>
          <w:cantSplit/>
        </w:trPr>
        <w:tc>
          <w:tcPr>
            <w:tcW w:type="dxa" w:w="2472"/>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Autoridad para detener</w:t>
            </w:r>
          </w:p>
        </w:tc>
        <w:tc>
          <w:tcPr>
            <w:tcW w:type="dxa" w:w="741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Aplica la consecuencia escrita sin esperar al proveedor ni a un consenso informal.</w:t>
            </w:r>
          </w:p>
        </w:tc>
      </w:tr>
    </w:tbl>
    <w:p>
      <w:pPr>
        <w:spacing w:after="0"/>
      </w:pPr>
    </w:p>
    <w:p>
      <w:pPr>
        <w:pStyle w:val="Heading1"/>
      </w:pPr>
      <w:r>
        <w:t>3. Condiciones previas a la prueba</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670"/>
        <w:gridCol w:w="7220"/>
      </w:tblGrid>
      <w:tr>
        <w:trPr>
          <w:tblHeader w:val="true"/>
          <w:cantSplit/>
        </w:trPr>
        <w:tc>
          <w:tcPr>
            <w:tcW w:type="dxa" w:w="267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Antes de activar</w:t>
            </w:r>
          </w:p>
        </w:tc>
        <w:tc>
          <w:tcPr>
            <w:tcW w:type="dxa" w:w="722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Pregunta que debe cerrarse</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Resultado legítimo</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¿Qué resultado sería aceptable y qué mejora observable lo justificaría?</w:t>
            </w:r>
          </w:p>
        </w:tc>
      </w:tr>
      <w:tr>
        <w:trPr>
          <w:cantSplit/>
        </w:trPr>
        <w:tc>
          <w:tcPr>
            <w:tcW w:type="dxa" w:w="267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Acciones prohibidas</w:t>
            </w:r>
          </w:p>
        </w:tc>
        <w:tc>
          <w:tcPr>
            <w:tcW w:type="dxa" w:w="722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¿Qué no puede decidir ni ejecutar ninguno de los dos sistemas?</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Grupos expuestos</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¿Quién recibe el beneficio y quién asume riesgo, demora, trabajo o dificultad para impugnar?</w:t>
            </w:r>
          </w:p>
        </w:tc>
      </w:tr>
      <w:tr>
        <w:trPr>
          <w:cantSplit/>
        </w:trPr>
        <w:tc>
          <w:tcPr>
            <w:tcW w:type="dxa" w:w="267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Ventana de control</w:t>
            </w:r>
          </w:p>
        </w:tc>
        <w:tc>
          <w:tcPr>
            <w:tcW w:type="dxa" w:w="722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¿Cuánto tiempo queda entre el error y una consecuencia que se vuelve difícil de corregir?</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Divergencia decisiva</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¿Qué desacuerdo obliga a reabrir el caso o impide que se produzca el efecto?</w:t>
            </w:r>
          </w:p>
        </w:tc>
      </w:tr>
      <w:tr>
        <w:trPr>
          <w:cantSplit/>
        </w:trPr>
        <w:tc>
          <w:tcPr>
            <w:tcW w:type="dxa" w:w="267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Interrupción</w:t>
            </w:r>
          </w:p>
        </w:tc>
        <w:tc>
          <w:tcPr>
            <w:tcW w:type="dxa" w:w="722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¿Quién puede detener el proceso, ante qué señal y qué servicio continúa en modo degradado?</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Salida</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¿Pueden reconstruirse datos, registros, configuraciones y permisos sin el servicio principal?</w:t>
            </w:r>
          </w:p>
        </w:tc>
      </w:tr>
    </w:tbl>
    <w:p>
      <w:pPr>
        <w:spacing w:after="0"/>
      </w:pPr>
    </w:p>
    <w:p>
      <w:pPr>
        <w:pStyle w:val="Heading1"/>
      </w:pPr>
      <w:r>
        <w:t>4. Biblioteca de casos</w:t>
      </w:r>
    </w:p>
    <w:p>
      <w:pPr>
        <w:keepLines w:val="0"/>
      </w:pPr>
      <w:r>
        <w:rPr>
          <w:rFonts w:ascii="DejaVu Sans" w:hAnsi="DejaVu Sans" w:eastAsia="DejaVu Sans"/>
          <w:color w:val="1E2528"/>
          <w:sz w:val="18"/>
        </w:rPr>
        <w:t>La prueba no utiliza únicamente muestras convenientes. Construye una biblioteca versionada de fallas realistas y conserva, para cada caso, el resultado legítimo, aquello que podría refutarlo y la persona competente capaz de reconstruirlo.</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374"/>
        <w:gridCol w:w="7516"/>
      </w:tblGrid>
      <w:tr>
        <w:trPr>
          <w:tblHeader w:val="true"/>
          <w:cantSplit/>
        </w:trPr>
        <w:tc>
          <w:tcPr>
            <w:tcW w:type="dxa" w:w="237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Familia de casos</w:t>
            </w:r>
          </w:p>
        </w:tc>
        <w:tc>
          <w:tcPr>
            <w:tcW w:type="dxa" w:w="7516"/>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Qué debe ponerse a prueba</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Caso ordinario</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Desempeño esperado, tiempo real y legibilidad de la explicación.</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Caso límite</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Una condición rara pero plausible capaz de cambiar el resultado.</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Datos incompletos</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Capacidad para reconocer lo que falta e impedir una falsa confianza.</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Instrucciones en conflicto</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Prioridad, escalamiento y trazabilidad de la regla aplicada.</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Error correlacionado</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Una fuente, anotación, dependencia o métrica compartida que puede inducir al mismo error en ambos sistemas.</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Sobrecarga</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Concurrencia, atención y capacidad de revisión bajo el volumen previsto.</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Indisponibilidad</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Modo degradado, continuidad, recuperación y costos transferidos a usuarios y personal.</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Salida</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Reapertura de un caso fuera del servicio principal con permisos y configuraciones funcionales.</w:t>
            </w:r>
          </w:p>
        </w:tc>
      </w:tr>
    </w:tbl>
    <w:p>
      <w:pPr>
        <w:spacing w:after="0"/>
      </w:pPr>
    </w:p>
    <w:p>
      <w:pPr>
        <w:pStyle w:val="Heading1"/>
      </w:pPr>
      <w:r>
        <w:t>5. Procedimiento por fases</w:t>
      </w:r>
    </w:p>
    <w:p>
      <w:pPr>
        <w:pStyle w:val="Heading2"/>
      </w:pPr>
      <w:r>
        <w:t>Fase 0 - Preparación</w:t>
      </w:r>
    </w:p>
    <w:p>
      <w:pPr>
        <w:keepLines w:val="0"/>
      </w:pPr>
      <w:r>
        <w:rPr>
          <w:rFonts w:ascii="DejaVu Sans" w:hAnsi="DejaVu Sans" w:eastAsia="DejaVu Sans"/>
          <w:color w:val="1E2528"/>
          <w:sz w:val="18"/>
        </w:rPr>
        <w:t>Complete Propósito, Mandato, Prueba, Distribución, Daño, Recurso y Salida. Registre la divergencia decisiva, el umbral de interrupción, el modo degradado y los datos prohibidos antes de observar el desempeño de cualquiera de los sistemas.</w:t>
      </w:r>
    </w:p>
    <w:p>
      <w:pPr>
        <w:pStyle w:val="Heading2"/>
      </w:pPr>
      <w:r>
        <w:t>Fase 1 - Modo sombra separado</w:t>
      </w:r>
    </w:p>
    <w:p>
      <w:pPr>
        <w:keepLines w:val="0"/>
      </w:pPr>
      <w:r>
        <w:rPr>
          <w:rFonts w:ascii="DejaVu Sans" w:hAnsi="DejaVu Sans" w:eastAsia="DejaVu Sans"/>
          <w:color w:val="1E2528"/>
          <w:sz w:val="18"/>
        </w:rPr>
        <w:t>A y B observan los mismos casos sin producir efectos externos. Entradas, versiones, resultados, fuentes y registros permanecen separados. Una persona compara los puntos decisivos, no solo la similitud lingüística.</w:t>
      </w:r>
    </w:p>
    <w:p>
      <w:pPr>
        <w:pStyle w:val="Heading2"/>
      </w:pPr>
      <w:r>
        <w:t>Fase 2 - Errores correlacionados</w:t>
      </w:r>
    </w:p>
    <w:p>
      <w:pPr>
        <w:keepLines w:val="0"/>
      </w:pPr>
      <w:r>
        <w:rPr>
          <w:rFonts w:ascii="DejaVu Sans" w:hAnsi="DejaVu Sans" w:eastAsia="DejaVu Sans"/>
          <w:color w:val="1E2528"/>
          <w:sz w:val="18"/>
        </w:rPr>
        <w:t>Introduzca fuentes comunes defectuosas, datos faltantes, excepciones raras, instrucciones en conflicto, componentes compartidos e indisponibilidad. Verifique si el acuerdo oculta una dependencia común.</w:t>
      </w:r>
    </w:p>
    <w:p>
      <w:pPr>
        <w:pStyle w:val="Heading2"/>
      </w:pPr>
      <w:r>
        <w:t>Fase 3 - Reconstrucción bajo carga</w:t>
      </w:r>
    </w:p>
    <w:p>
      <w:pPr>
        <w:keepLines w:val="0"/>
      </w:pPr>
      <w:r>
        <w:rPr>
          <w:rFonts w:ascii="DejaVu Sans" w:hAnsi="DejaVu Sans" w:eastAsia="DejaVu Sans"/>
          <w:color w:val="1E2528"/>
          <w:sz w:val="18"/>
        </w:rPr>
        <w:t>Repita la prueba con el volumen y la concurrencia previstos. Mida el tiempo necesario para encontrar el hecho que cambia el resultado, comparar la alternativa y detenerse antes de que ocurra el daño.</w:t>
      </w:r>
    </w:p>
    <w:p>
      <w:pPr>
        <w:pStyle w:val="Heading2"/>
      </w:pPr>
      <w:r>
        <w:t>Fase 4 - Volumen limitado y reversible</w:t>
      </w:r>
    </w:p>
    <w:p>
      <w:pPr>
        <w:keepLines w:val="0"/>
      </w:pPr>
      <w:r>
        <w:rPr>
          <w:rFonts w:ascii="DejaVu Sans" w:hAnsi="DejaVu Sans" w:eastAsia="DejaVu Sans"/>
          <w:color w:val="1E2528"/>
          <w:sz w:val="18"/>
        </w:rPr>
        <w:t>Solo si las fases anteriores se sostienen, utilice un alcance restringido con efectos reversibles, registros completos, una persona localizable e interrupción inmediata. Un promedio favorable no autoriza automáticamente la ampliación.</w:t>
      </w:r>
    </w:p>
    <w:p>
      <w:pPr>
        <w:pStyle w:val="Heading2"/>
      </w:pPr>
      <w:r>
        <w:t>Fase 5 - Salida y revisión</w:t>
      </w:r>
    </w:p>
    <w:p>
      <w:pPr>
        <w:keepLines w:val="0"/>
      </w:pPr>
      <w:r>
        <w:rPr>
          <w:rFonts w:ascii="DejaVu Sans" w:hAnsi="DejaVu Sans" w:eastAsia="DejaVu Sans"/>
          <w:color w:val="1E2528"/>
          <w:sz w:val="18"/>
        </w:rPr>
        <w:t>Exporte y reabra un caso con datos, configuraciones y permisos fuera del servicio principal. Revise cuando cambien el modelo, los datos, el proveedor, la escala, la tarea o las personas responsables, o al llegar el plazo establecido.</w:t>
      </w:r>
    </w:p>
    <w:p>
      <w:pPr>
        <w:pStyle w:val="Heading1"/>
      </w:pPr>
      <w:r>
        <w:t>6. Condiciones específicas de la revisión con dos sistemas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967"/>
        <w:gridCol w:w="6923"/>
      </w:tblGrid>
      <w:tr>
        <w:trPr>
          <w:tblHeader w:val="true"/>
          <w:cantSplit/>
        </w:trPr>
        <w:tc>
          <w:tcPr>
            <w:tcW w:type="dxa" w:w="2967"/>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Condición</w:t>
            </w:r>
          </w:p>
        </w:tc>
        <w:tc>
          <w:tcPr>
            <w:tcW w:type="dxa" w:w="6923"/>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Prueba requerida</w:t>
            </w:r>
          </w:p>
        </w:tc>
      </w:tr>
      <w:tr>
        <w:trPr>
          <w:cantSplit/>
        </w:trPr>
        <w:tc>
          <w:tcPr>
            <w:tcW w:type="dxa" w:w="29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Independencia efectiva</w:t>
            </w:r>
          </w:p>
        </w:tc>
        <w:tc>
          <w:tcPr>
            <w:tcW w:type="dxa" w:w="6923"/>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Demostrar separación o diferencias pertinentes en fuentes, datos, objetivos y registros. Un nombre, modelo o proveedor distinto no basta.</w:t>
            </w:r>
          </w:p>
        </w:tc>
      </w:tr>
      <w:tr>
        <w:trPr>
          <w:cantSplit/>
        </w:trPr>
        <w:tc>
          <w:tcPr>
            <w:tcW w:type="dxa" w:w="29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Errores correlacionados</w:t>
            </w:r>
          </w:p>
        </w:tc>
        <w:tc>
          <w:tcPr>
            <w:tcW w:type="dxa" w:w="6923"/>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Buscar defectos compartidos: fuentes comunes, anotaciones y métricas idénticas, dependencias comunes, datos incompletos, instrucciones en conflicto, sobrecarga e indisponibilidad. El acuerdo todavía puede estar equivocado de la misma manera.</w:t>
            </w:r>
          </w:p>
        </w:tc>
      </w:tr>
      <w:tr>
        <w:trPr>
          <w:cantSplit/>
        </w:trPr>
        <w:tc>
          <w:tcPr>
            <w:tcW w:type="dxa" w:w="29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Divergencia decisiva</w:t>
            </w:r>
          </w:p>
        </w:tc>
        <w:tc>
          <w:tcPr>
            <w:tcW w:type="dxa" w:w="6923"/>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Definir de antemano qué desacuerdo puede cambiar el resultado; mantener separados entradas, versiones, resultados y registros. No promediar puntuaciones o niveles de confianza para convertir el desacuerdo en autorización.</w:t>
            </w:r>
          </w:p>
        </w:tc>
      </w:tr>
      <w:tr>
        <w:trPr>
          <w:cantSplit/>
        </w:trPr>
        <w:tc>
          <w:tcPr>
            <w:tcW w:type="dxa" w:w="29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Interrupción predefinida</w:t>
            </w:r>
          </w:p>
        </w:tc>
        <w:tc>
          <w:tcPr>
            <w:tcW w:type="dxa" w:w="6923"/>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Si una divergencia decisiva no puede reconstruirse dentro de la ventana de control, aplicar la consecuencia escrita: restringir el Mandato, pasar al modo degradado, No delegar antes del inicio o Interrumpir el uso activo.</w:t>
            </w:r>
          </w:p>
        </w:tc>
      </w:tr>
    </w:tbl>
    <w:p>
      <w:pPr>
        <w:spacing w:after="0"/>
      </w:pPr>
    </w:p>
    <w:p>
      <w:pPr>
        <w:pStyle w:val="Heading1"/>
      </w:pPr>
      <w:r>
        <w:t>7. Registro mínimo</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571"/>
        <w:gridCol w:w="7319"/>
      </w:tblGrid>
      <w:tr>
        <w:trPr>
          <w:tblHeader w:val="true"/>
          <w:cantSplit/>
        </w:trPr>
        <w:tc>
          <w:tcPr>
            <w:tcW w:type="dxa" w:w="257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Campo del registro</w:t>
            </w:r>
          </w:p>
        </w:tc>
        <w:tc>
          <w:tcPr>
            <w:tcW w:type="dxa" w:w="731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Contenido que debe conservarse</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Identificación</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Caso, fecha, titular, versión A, versión B, configuraciones y fuentes.</w:t>
            </w:r>
          </w:p>
        </w:tc>
      </w:tr>
      <w:tr>
        <w:trPr>
          <w:cantSplit/>
        </w:trPr>
        <w:tc>
          <w:tcPr>
            <w:tcW w:type="dxa" w:w="257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Entradas separadas</w:t>
            </w:r>
          </w:p>
        </w:tc>
        <w:tc>
          <w:tcPr>
            <w:tcW w:type="dxa" w:w="7319"/>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Datos disponibles para cada sistema, elementos excluidos y transformaciones aplicadas.</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Resultados separados</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Respuestas, fuentes citadas, incertidumbre, alternativas y pasos intermedios disponibles.</w:t>
            </w:r>
          </w:p>
        </w:tc>
      </w:tr>
      <w:tr>
        <w:trPr>
          <w:cantSplit/>
        </w:trPr>
        <w:tc>
          <w:tcPr>
            <w:tcW w:type="dxa" w:w="257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Acuerdo o divergencia</w:t>
            </w:r>
          </w:p>
        </w:tc>
        <w:tc>
          <w:tcPr>
            <w:tcW w:type="dxa" w:w="7319"/>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El punto sustantivo, no una diferencia de estilo; posible efecto sobre la decisión.</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Reconstrucción humana</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Hecho decisivo, regla, alternativa, tiempo necesario y competencia requerida.</w:t>
            </w:r>
          </w:p>
        </w:tc>
      </w:tr>
      <w:tr>
        <w:trPr>
          <w:cantSplit/>
        </w:trPr>
        <w:tc>
          <w:tcPr>
            <w:tcW w:type="dxa" w:w="257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Consecuencia</w:t>
            </w:r>
          </w:p>
        </w:tc>
        <w:tc>
          <w:tcPr>
            <w:tcW w:type="dxa" w:w="7319"/>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Continuar en modo sombra, repetir, restringir el Mandato, pasar al modo degradado, No delegar o Interrumpir.</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Costo</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Horas, demoras, capacitación, impugnaciones, dependencia, energía y trabajo de salida.</w:t>
            </w:r>
          </w:p>
        </w:tc>
      </w:tr>
    </w:tbl>
    <w:p>
      <w:pPr>
        <w:spacing w:after="0"/>
      </w:pPr>
    </w:p>
    <w:p>
      <w:r>
        <w:br w:type="page"/>
      </w:r>
    </w:p>
    <w:p>
      <w:pPr>
        <w:pStyle w:val="Heading1"/>
      </w:pPr>
      <w:r>
        <w:t>8. Reglas de decisión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363"/>
        <w:gridCol w:w="6527"/>
      </w:tblGrid>
      <w:tr>
        <w:trPr>
          <w:tblHeader w:val="true"/>
          <w:cantSplit/>
        </w:trPr>
        <w:tc>
          <w:tcPr>
            <w:tcW w:type="dxa" w:w="336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Situación</w:t>
            </w:r>
          </w:p>
        </w:tc>
        <w:tc>
          <w:tcPr>
            <w:tcW w:type="dxa" w:w="6527"/>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Consecuencia mínima</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 y B coinciden, pero comparten una dependencia no verificada</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La evidencia queda Sin resolver; no ampliar el Mandato.</w:t>
            </w:r>
          </w:p>
        </w:tc>
      </w:tr>
      <w:tr>
        <w:trPr>
          <w:cantSplit/>
        </w:trPr>
        <w:tc>
          <w:tcPr>
            <w:tcW w:type="dxa" w:w="33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 y B divergen en un punto no decisivo y el motivo puede reconstruirse</w:t>
            </w:r>
          </w:p>
        </w:tc>
        <w:tc>
          <w:tcPr>
            <w:tcW w:type="dxa" w:w="652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Registrarlo; mantener el alcance; revisar la biblioteca de casos.</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Una divergencia decisiva puede reconstruirse dentro de la ventana de control</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Remitirla a la persona revisora competente; el efecto permanece suspendido hasta cerrar el caso.</w:t>
            </w:r>
          </w:p>
        </w:tc>
      </w:tr>
      <w:tr>
        <w:trPr>
          <w:cantSplit/>
        </w:trPr>
        <w:tc>
          <w:tcPr>
            <w:tcW w:type="dxa" w:w="33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Una divergencia decisiva no puede reconstruirse a tiempo</w:t>
            </w:r>
          </w:p>
        </w:tc>
        <w:tc>
          <w:tcPr>
            <w:tcW w:type="dxa" w:w="652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Restringir el Mandato o pasar al modo degradado; si el poder ya está activo, Interrumpir.</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Ambos sistemas fallan en el mismo caso</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Tratar el acuerdo como error correlacionado; corregir fuentes, datos, objetivos o proceso antes de repetir.</w:t>
            </w:r>
          </w:p>
        </w:tc>
      </w:tr>
      <w:tr>
        <w:trPr>
          <w:cantSplit/>
        </w:trPr>
        <w:tc>
          <w:tcPr>
            <w:tcW w:type="dxa" w:w="33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La carga vuelve nominal la supervisión</w:t>
            </w:r>
          </w:p>
        </w:tc>
        <w:tc>
          <w:tcPr>
            <w:tcW w:type="dxa" w:w="652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Reducir el volumen o la modalidad; financiar capacidad humana; no añadir una firma ornamental.</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La salida no permite reconstruir el servicio</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Condición Bloqueante: No delegar antes del inicio o Interrumpir el uso activo.</w:t>
            </w:r>
          </w:p>
        </w:tc>
      </w:tr>
    </w:tbl>
    <w:p>
      <w:pPr>
        <w:spacing w:after="0"/>
      </w:pPr>
    </w:p>
    <w:p>
      <w:pPr>
        <w:pStyle w:val="Heading1"/>
      </w:pPr>
      <w:r>
        <w:t>9. Registro de cierre</w:t>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blHeader/>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RESULTADO  </w:t>
            </w:r>
            <w:r>
              <w:rPr>
                <w:rFonts w:ascii="DejaVu Sans" w:hAnsi="DejaVu Sans" w:eastAsia="DejaVu Sans"/>
                <w:color w:val="1E2528"/>
                <w:sz w:val="18"/>
              </w:rPr>
              <w:t>El registro conserva la versión, el alcance probado, los casos fallidos, las divergencias, las horas de supervisión, los costos, las condiciones sin resolver, la decisión organizativa, la persona responsable, la condición de interrupción y la fecha de revisión. Un buen resultado no autoriza tareas, datos o volúmenes que no se hayan probado.</w:t>
            </w:r>
          </w:p>
        </w:tc>
      </w:tr>
    </w:tbl>
    <w:p>
      <w:pPr>
        <w:spacing w:after="0"/>
      </w:pPr>
    </w:p>
    <w:p>
      <w:pPr>
        <w:pStyle w:val="Heading2"/>
      </w:pPr>
      <w:r>
        <w:t>Lista de control para el cierre</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450"/>
        <w:gridCol w:w="5440"/>
      </w:tblGrid>
      <w:tr>
        <w:trPr>
          <w:tblHeader w:val="true"/>
          <w:cantSplit/>
        </w:trPr>
        <w:tc>
          <w:tcPr>
            <w:tcW w:type="dxa" w:w="445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Control</w:t>
            </w:r>
          </w:p>
        </w:tc>
        <w:tc>
          <w:tcPr>
            <w:tcW w:type="dxa" w:w="544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Resultado y referencia</w:t>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Versiones A y B identificadas</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Dependencias comunes documentadas</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Divergencias decisivas reconstruidas</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Carga real y ventana de control probadas</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Recurso y autoridad para detener localizables</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Modo degradado y salida probados</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Costos de supervisión y no adopción registrados</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Decisión organizativa</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 ] Proceder [ ] Limitar y probar [ ] No delegar [ ] Interrumpir</w:t>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Persona responsable, firma, fecha y revisión</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bl>
    <w:p>
      <w:pPr>
        <w:spacing w:after="0"/>
      </w:pPr>
    </w:p>
    <w:sectPr>
      <w:headerReference w:type="default" r:id="rId9"/>
      <w:footerReference w:type="default" r:id="rId10"/>
      <w:footerReference w:type="first" r:id="rId11"/>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ES-INTL-R1 - A4 - Instantánea de la edición en español - julio de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https://www.corneritaliano.com/es/2050/recursos/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RECURSOS OFICIALES  |  </w:t>
    </w:r>
    <w:r>
      <w:rPr>
        <w:rFonts w:ascii="DejaVu Sans" w:hAnsi="DejaVu Sans" w:eastAsia="DejaVu Sans"/>
        <w:color w:val="5D6870"/>
        <w:sz w:val="15"/>
      </w:rPr>
      <w:t>Protocolo avanzado de prueba con dos sistemas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s/2050/recurs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avanzado de prueba con dos sistemas</dc:title>
  <dc:subject>Recurso complementario oficial de 2050</dc:subject>
  <dc:creator/>
  <cp:keywords>2050, inteligencia artificial, Prueba 2050, recursos</cp:keywords>
  <dc:description>generated by python-docx</dc:description>
  <cp:lastModifiedBy/>
  <cp:revision>1</cp:revision>
  <dcterms:created xsi:type="dcterms:W3CDTF">2013-12-23T23:15:00Z</dcterms:created>
  <dcterms:modified xsi:type="dcterms:W3CDTF">2013-12-23T23:15:00Z</dcterms:modified>
  <cp:category/>
</cp:coreProperties>
</file>