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840"/>
        <w:jc w:val="center"/>
      </w:pPr>
      <w:r>
        <w:drawing>
          <wp:inline xmlns:a="http://schemas.openxmlformats.org/drawingml/2006/main" xmlns:pic="http://schemas.openxmlformats.org/drawingml/2006/picture">
            <wp:extent cx="1508760" cy="1005840"/>
            <wp:docPr id="1" name="Picture 1" descr="Logotipo editorial de Corner Italiano" title="Corner Italiano"/>
            <wp:cNvGraphicFramePr>
              <a:graphicFrameLocks noChangeAspect="1"/>
            </wp:cNvGraphicFramePr>
            <a:graphic>
              <a:graphicData uri="http://schemas.openxmlformats.org/drawingml/2006/picture">
                <pic:pic>
                  <pic:nvPicPr>
                    <pic:cNvPr id="0" name="corner-italiano-logo.png"/>
                    <pic:cNvPicPr/>
                  </pic:nvPicPr>
                  <pic:blipFill>
                    <a:blip r:embed="rId12"/>
                    <a:stretch>
                      <a:fillRect/>
                    </a:stretch>
                  </pic:blipFill>
                  <pic:spPr>
                    <a:xfrm>
                      <a:off x="0" y="0"/>
                      <a:ext cx="1508760" cy="1005840"/>
                    </a:xfrm>
                    <a:prstGeom prst="rect"/>
                  </pic:spPr>
                </pic:pic>
              </a:graphicData>
            </a:graphic>
          </wp:inline>
        </w:drawing>
      </w:r>
    </w:p>
    <w:p>
      <w:pPr>
        <w:spacing w:before="520" w:after="160"/>
        <w:jc w:val="center"/>
      </w:pPr>
      <w:r>
        <w:rPr>
          <w:rFonts w:ascii="DejaVu Sans" w:hAnsi="DejaVu Sans" w:eastAsia="DejaVu Sans"/>
          <w:b/>
          <w:color w:val="B54B2A"/>
          <w:sz w:val="17"/>
        </w:rPr>
        <w:t>CORNER ITALIANO  |  RECURSOS OFICIALES</w:t>
      </w:r>
    </w:p>
    <w:p>
      <w:pPr>
        <w:pStyle w:val="Title"/>
        <w:jc w:val="center"/>
      </w:pPr>
      <w:r>
        <w:rPr>
          <w:rFonts w:ascii="DejaVu Sans" w:hAnsi="DejaVu Sans" w:eastAsia="DejaVu Sans"/>
          <w:b/>
          <w:color w:val="123044"/>
          <w:sz w:val="56"/>
        </w:rPr>
        <w:t>Protocolo avanzado de prueba con dos sistemas</w:t>
      </w:r>
    </w:p>
    <w:p>
      <w:pPr>
        <w:pStyle w:val="Subtitle"/>
        <w:jc w:val="center"/>
      </w:pPr>
      <w:r>
        <w:rPr>
          <w:rFonts w:ascii="DejaVu Sans" w:hAnsi="DejaVu Sans" w:eastAsia="DejaVu Sans"/>
          <w:color w:val="5D6870"/>
          <w:sz w:val="25"/>
        </w:rPr>
        <w:t>Cómo utilizar un segundo sistema sin convertirlo en una aprobación automática</w:t>
      </w:r>
    </w:p>
    <w:p>
      <w:pPr>
        <w:spacing w:before="440"/>
        <w:jc w:val="center"/>
      </w:pPr>
      <w:r>
        <w:rPr>
          <w:rFonts w:ascii="DejaVu Sans" w:hAnsi="DejaVu Sans" w:eastAsia="DejaVu Sans"/>
          <w:b/>
          <w:color w:val="B54B2A"/>
          <w:sz w:val="17"/>
        </w:rPr>
        <w:t>PROTOCOLO OPERATIVO AMPLIADO</w:t>
      </w:r>
    </w:p>
    <w:p>
      <w:pPr>
        <w:jc w:val="center"/>
      </w:pPr>
      <w:r>
        <w:rPr>
          <w:rFonts w:ascii="DejaVu Sans" w:hAnsi="DejaVu Sans" w:eastAsia="DejaVu Sans"/>
          <w:color w:val="234C61"/>
          <w:sz w:val="19"/>
        </w:rPr>
        <w:t>Instantánea de la edición en español - julio de 2026 - Formato Carta (8,5 x 11 pulg.)</w:t>
      </w:r>
    </w:p>
    <w:p>
      <w:pPr>
        <w:spacing w:before="360"/>
        <w:jc w:val="center"/>
      </w:pPr>
      <w:hyperlink r:id="rId13">
        <w:r>
          <w:rPr>
            <w:rFonts w:ascii="DejaVu Sans" w:hAnsi="DejaVu Sans" w:eastAsia="DejaVu Sans"/>
            <w:color w:val="234C61"/>
            <w:u w:val="single"/>
            <w:sz w:val="18"/>
          </w:rPr>
          <w:t>https://www.corneritaliano.com/es/2050/recursos/</w:t>
        </w:r>
      </w:hyperlink>
    </w:p>
    <w:p>
      <w:r>
        <w:br w:type="page"/>
      </w:r>
    </w:p>
    <w:tbl>
      <w:tblPr>
        <w:tblW w:type="dxa" w:w="10224"/>
        <w:jc w:val="left"/>
        <w:tblLayout w:type="fixed"/>
        <w:tblLook w:firstColumn="1" w:firstRow="1" w:lastColumn="0" w:lastRow="0" w:noHBand="0" w:noVBand="1" w:val="04A0"/>
        <w:tblInd w:w="150" w:type="dxa"/>
        <w:tblBorders>
          <w:top w:val="single" w:sz="7" w:space="0" w:color="B54B2A"/>
          <w:left w:val="single" w:sz="7" w:space="0" w:color="B54B2A"/>
          <w:bottom w:val="single" w:sz="7" w:space="0" w:color="B54B2A"/>
          <w:right w:val="single" w:sz="7" w:space="0" w:color="B54B2A"/>
          <w:insideH w:val="single" w:sz="7" w:space="0" w:color="B54B2A"/>
          <w:insideV w:val="single" w:sz="7" w:space="0" w:color="B54B2A"/>
        </w:tblBorders>
      </w:tblPr>
      <w:tblGrid>
        <w:gridCol w:w="10224"/>
      </w:tblGrid>
      <w:tr>
        <w:trPr>
          <w:cantSplit/>
          <w:tblHeader/>
        </w:trPr>
        <w:tc>
          <w:tcPr>
            <w:tcW w:type="dxa" w:w="10224"/>
            <w:shd w:fill="F7E7E0"/>
            <w:tcMar>
              <w:top w:w="120" w:type="dxa"/>
              <w:start w:w="150" w:type="dxa"/>
              <w:bottom w:w="120" w:type="dxa"/>
              <w:end w:w="150" w:type="dxa"/>
            </w:tcMar>
          </w:tcPr>
          <w:p>
            <w:pPr>
              <w:spacing w:after="40"/>
            </w:pPr>
            <w:r>
              <w:rPr>
                <w:rFonts w:ascii="DejaVu Sans" w:hAnsi="DejaVu Sans" w:eastAsia="DejaVu Sans"/>
                <w:b/>
                <w:color w:val="B54B2A"/>
                <w:sz w:val="17"/>
              </w:rPr>
              <w:t xml:space="preserve">REGLA FUNDAMENTAL  </w:t>
            </w:r>
            <w:r>
              <w:rPr>
                <w:rFonts w:ascii="DejaVu Sans" w:hAnsi="DejaVu Sans" w:eastAsia="DejaVu Sans"/>
                <w:color w:val="1E2528"/>
                <w:sz w:val="18"/>
              </w:rPr>
              <w:t>Un segundo sistema puede buscar errores o condiciones contrarias; no constituye una verificación independiente solo por tener un nombre, modelo o proveedor distinto. Es evidencia adjunta a la Prueba, no una segunda Prueba ni una forma de sumar votos.</w:t>
            </w:r>
          </w:p>
        </w:tc>
      </w:tr>
    </w:tbl>
    <w:p>
      <w:pPr>
        <w:spacing w:after="0"/>
      </w:pPr>
    </w:p>
    <w:p>
      <w:pPr>
        <w:keepLines w:val="0"/>
      </w:pPr>
      <w:r>
        <w:rPr>
          <w:rFonts w:ascii="DejaVu Sans" w:hAnsi="DejaVu Sans" w:eastAsia="DejaVu Sans"/>
          <w:color w:val="1E2528"/>
          <w:sz w:val="18"/>
        </w:rPr>
        <w:t>Antes de utilizarlo, defina el resultado legítimo, las acciones prohibidas, los grupos expuestos, el tiempo hasta el daño, la divergencia capaz de cambiar el resultado, la persona responsable y la condición de interrupción. Pruebe primero en modo sombra con casos adversos y, solo después, si se justifica, con un volumen limitado y reversible. Un segundo sistema no resuelve por sí solo los conflictos de valores, el acceso desigual, la capacidad organizativa insuficiente ni la ausencia de Recurso.</w:t>
      </w:r>
    </w:p>
    <w:p>
      <w:pPr>
        <w:pStyle w:val="Heading1"/>
      </w:pPr>
      <w:r>
        <w:t>1. Propósito y límites</w:t>
      </w:r>
    </w:p>
    <w:p>
      <w:pPr>
        <w:keepLines w:val="0"/>
      </w:pPr>
      <w:r>
        <w:rPr>
          <w:rFonts w:ascii="DejaVu Sans" w:hAnsi="DejaVu Sans" w:eastAsia="DejaVu Sans"/>
          <w:color w:val="1E2528"/>
          <w:sz w:val="18"/>
        </w:rPr>
        <w:t>El protocolo se utiliza cuando una organización desea combinar su sistema principal con un segundo sistema capaz de buscar errores, condiciones contrarias o motivos para reabrir el caso. El segundo sistema produce evidencia adicional; no sustituye la Prueba 2050, el juicio competente, el Recurso ni la autoridad para detener.</w:t>
      </w:r>
    </w:p>
    <w:p>
      <w:pPr>
        <w:keepLines w:val="0"/>
      </w:pPr>
      <w:r>
        <w:rPr>
          <w:rFonts w:ascii="DejaVu Sans" w:hAnsi="DejaVu Sans" w:eastAsia="DejaVu Sans"/>
          <w:color w:val="1E2528"/>
          <w:sz w:val="18"/>
        </w:rPr>
        <w:t>El acuerdo entre los sistemas no demuestra que un resultado sea correcto. El desacuerdo no autoriza un promedio automático. Ambos pueden depender de las mismas fuentes, datos, etiquetas o infraestructura y, por ello, fallar de la misma manera.</w:t>
      </w:r>
    </w:p>
    <w:p>
      <w:pPr>
        <w:pStyle w:val="Heading1"/>
      </w:pPr>
      <w:r>
        <w:t>2. Funciones y separación de responsabilidades</w:t>
      </w:r>
    </w:p>
    <w:tbl>
      <w:tblPr>
        <w:tblW w:type="dxa" w:w="10224"/>
        <w:jc w:val="left"/>
        <w:tblLayout w:type="fixed"/>
        <w:tblLook w:firstColumn="1" w:firstRow="1" w:lastColumn="0" w:lastRow="0" w:noHBand="0" w:noVBand="1" w:val="04A0"/>
        <w:tblInd w:w="120" w:type="dxa"/>
        <w:tblBorders>
          <w:top w:val="single" w:sz="5" w:space="0" w:color="C8D2D7"/>
          <w:left w:val="single" w:sz="5" w:space="0" w:color="C8D2D7"/>
          <w:bottom w:val="single" w:sz="5" w:space="0" w:color="C8D2D7"/>
          <w:right w:val="single" w:sz="5" w:space="0" w:color="C8D2D7"/>
          <w:insideH w:val="single" w:sz="5" w:space="0" w:color="C8D2D7"/>
          <w:insideV w:val="single" w:sz="5" w:space="0" w:color="C8D2D7"/>
        </w:tblBorders>
      </w:tblPr>
      <w:tblGrid>
        <w:gridCol w:w="2556"/>
        <w:gridCol w:w="7668"/>
      </w:tblGrid>
      <w:tr>
        <w:trPr>
          <w:tblHeader w:val="true"/>
          <w:cantSplit/>
        </w:trPr>
        <w:tc>
          <w:tcPr>
            <w:tcW w:type="dxa" w:w="2556"/>
            <w:vAlign w:val="center"/>
            <w:tcMar>
              <w:top w:w="65" w:type="dxa"/>
              <w:start w:w="120" w:type="dxa"/>
              <w:bottom w:w="65" w:type="dxa"/>
              <w:end w:w="120" w:type="dxa"/>
            </w:tcMar>
            <w:shd w:fill="123044"/>
          </w:tcPr>
          <w:p>
            <w:pPr>
              <w:spacing w:after="0" w:line="240" w:lineRule="auto"/>
            </w:pPr>
            <w:r>
              <w:rPr>
                <w:rFonts w:ascii="DejaVu Sans" w:hAnsi="DejaVu Sans" w:eastAsia="DejaVu Sans"/>
                <w:b/>
                <w:color w:val="FFFFFF"/>
                <w:sz w:val="15"/>
              </w:rPr>
              <w:t>Función</w:t>
            </w:r>
          </w:p>
        </w:tc>
        <w:tc>
          <w:tcPr>
            <w:tcW w:type="dxa" w:w="7668"/>
            <w:vAlign w:val="center"/>
            <w:tcMar>
              <w:top w:w="65" w:type="dxa"/>
              <w:start w:w="120" w:type="dxa"/>
              <w:bottom w:w="65" w:type="dxa"/>
              <w:end w:w="120" w:type="dxa"/>
            </w:tcMar>
            <w:shd w:fill="123044"/>
          </w:tcPr>
          <w:p>
            <w:pPr>
              <w:spacing w:after="0" w:line="240" w:lineRule="auto"/>
            </w:pPr>
            <w:r>
              <w:rPr>
                <w:rFonts w:ascii="DejaVu Sans" w:hAnsi="DejaVu Sans" w:eastAsia="DejaVu Sans"/>
                <w:b/>
                <w:color w:val="FFFFFF"/>
                <w:sz w:val="15"/>
              </w:rPr>
              <w:t>Responsabilidad mínima</w:t>
            </w:r>
          </w:p>
        </w:tc>
      </w:tr>
      <w:tr>
        <w:trPr>
          <w:cantSplit/>
        </w:trPr>
        <w:tc>
          <w:tcPr>
            <w:tcW w:type="dxa" w:w="2556"/>
            <w:vAlign w:val="center"/>
            <w:tcMar>
              <w:top w:w="65" w:type="dxa"/>
              <w:start w:w="120" w:type="dxa"/>
              <w:bottom w:w="65" w:type="dxa"/>
              <w:end w:w="120" w:type="dxa"/>
            </w:tcMar>
          </w:tcPr>
          <w:p>
            <w:pPr>
              <w:spacing w:after="0" w:line="240" w:lineRule="auto"/>
            </w:pPr>
            <w:r>
              <w:rPr>
                <w:rFonts w:ascii="DejaVu Sans" w:hAnsi="DejaVu Sans" w:eastAsia="DejaVu Sans"/>
                <w:b/>
                <w:color w:val="1E2528"/>
                <w:sz w:val="15"/>
              </w:rPr>
              <w:t>Titular de la Prueba</w:t>
            </w:r>
          </w:p>
        </w:tc>
        <w:tc>
          <w:tcPr>
            <w:tcW w:type="dxa" w:w="7668"/>
            <w:vAlign w:val="center"/>
            <w:tcMar>
              <w:top w:w="65" w:type="dxa"/>
              <w:start w:w="120" w:type="dxa"/>
              <w:bottom w:w="65" w:type="dxa"/>
              <w:end w:w="120" w:type="dxa"/>
            </w:tcMar>
          </w:tcPr>
          <w:p>
            <w:pPr>
              <w:spacing w:after="0" w:line="240" w:lineRule="auto"/>
            </w:pPr>
            <w:r>
              <w:rPr>
                <w:rFonts w:ascii="DejaVu Sans" w:hAnsi="DejaVu Sans" w:eastAsia="DejaVu Sans"/>
                <w:b w:val="0"/>
                <w:color w:val="1E2528"/>
                <w:sz w:val="15"/>
              </w:rPr>
              <w:t>Define el problema, el Mandato, los umbrales no compensables y la decisión organizativa. No delega la aprobación en los dos sistemas.</w:t>
            </w:r>
          </w:p>
        </w:tc>
      </w:tr>
      <w:tr>
        <w:trPr>
          <w:cantSplit/>
        </w:trPr>
        <w:tc>
          <w:tcPr>
            <w:tcW w:type="dxa" w:w="2556"/>
            <w:vAlign w:val="center"/>
            <w:tcMar>
              <w:top w:w="65" w:type="dxa"/>
              <w:start w:w="120" w:type="dxa"/>
              <w:bottom w:w="65" w:type="dxa"/>
              <w:end w:w="120" w:type="dxa"/>
            </w:tcMar>
            <w:shd w:fill="EFF2F3"/>
          </w:tcPr>
          <w:p>
            <w:pPr>
              <w:spacing w:after="0" w:line="240" w:lineRule="auto"/>
            </w:pPr>
            <w:r>
              <w:rPr>
                <w:rFonts w:ascii="DejaVu Sans" w:hAnsi="DejaVu Sans" w:eastAsia="DejaVu Sans"/>
                <w:b/>
                <w:color w:val="1E2528"/>
                <w:sz w:val="15"/>
              </w:rPr>
              <w:t>Sistema A</w:t>
            </w:r>
          </w:p>
        </w:tc>
        <w:tc>
          <w:tcPr>
            <w:tcW w:type="dxa" w:w="7668"/>
            <w:vAlign w:val="center"/>
            <w:tcMar>
              <w:top w:w="65" w:type="dxa"/>
              <w:start w:w="120" w:type="dxa"/>
              <w:bottom w:w="65" w:type="dxa"/>
              <w:end w:w="120" w:type="dxa"/>
            </w:tcMar>
            <w:shd w:fill="EFF2F3"/>
          </w:tcPr>
          <w:p>
            <w:pPr>
              <w:spacing w:after="0" w:line="240" w:lineRule="auto"/>
            </w:pPr>
            <w:r>
              <w:rPr>
                <w:rFonts w:ascii="DejaVu Sans" w:hAnsi="DejaVu Sans" w:eastAsia="DejaVu Sans"/>
                <w:b w:val="0"/>
                <w:color w:val="1E2528"/>
                <w:sz w:val="15"/>
              </w:rPr>
              <w:t>Realiza la tarea dentro del alcance experimental y conserva entradas, versión, resultados, fuentes e incertidumbre.</w:t>
            </w:r>
          </w:p>
        </w:tc>
      </w:tr>
      <w:tr>
        <w:trPr>
          <w:cantSplit/>
        </w:trPr>
        <w:tc>
          <w:tcPr>
            <w:tcW w:type="dxa" w:w="2556"/>
            <w:vAlign w:val="center"/>
            <w:tcMar>
              <w:top w:w="65" w:type="dxa"/>
              <w:start w:w="120" w:type="dxa"/>
              <w:bottom w:w="65" w:type="dxa"/>
              <w:end w:w="120" w:type="dxa"/>
            </w:tcMar>
          </w:tcPr>
          <w:p>
            <w:pPr>
              <w:spacing w:after="0" w:line="240" w:lineRule="auto"/>
            </w:pPr>
            <w:r>
              <w:rPr>
                <w:rFonts w:ascii="DejaVu Sans" w:hAnsi="DejaVu Sans" w:eastAsia="DejaVu Sans"/>
                <w:b/>
                <w:color w:val="1E2528"/>
                <w:sz w:val="15"/>
              </w:rPr>
              <w:t>Sistema B</w:t>
            </w:r>
          </w:p>
        </w:tc>
        <w:tc>
          <w:tcPr>
            <w:tcW w:type="dxa" w:w="7668"/>
            <w:vAlign w:val="center"/>
            <w:tcMar>
              <w:top w:w="65" w:type="dxa"/>
              <w:start w:w="120" w:type="dxa"/>
              <w:bottom w:w="65" w:type="dxa"/>
              <w:end w:w="120" w:type="dxa"/>
            </w:tcMar>
          </w:tcPr>
          <w:p>
            <w:pPr>
              <w:spacing w:after="0" w:line="240" w:lineRule="auto"/>
            </w:pPr>
            <w:r>
              <w:rPr>
                <w:rFonts w:ascii="DejaVu Sans" w:hAnsi="DejaVu Sans" w:eastAsia="DejaVu Sans"/>
                <w:b w:val="0"/>
                <w:color w:val="1E2528"/>
                <w:sz w:val="15"/>
              </w:rPr>
              <w:t>Busca errores, condiciones contrarias o evidencia que pueda cambiar el resultado; no promedia su respuesta con A.</w:t>
            </w:r>
          </w:p>
        </w:tc>
      </w:tr>
      <w:tr>
        <w:trPr>
          <w:cantSplit/>
        </w:trPr>
        <w:tc>
          <w:tcPr>
            <w:tcW w:type="dxa" w:w="2556"/>
            <w:vAlign w:val="center"/>
            <w:tcMar>
              <w:top w:w="65" w:type="dxa"/>
              <w:start w:w="120" w:type="dxa"/>
              <w:bottom w:w="65" w:type="dxa"/>
              <w:end w:w="120" w:type="dxa"/>
            </w:tcMar>
            <w:shd w:fill="EFF2F3"/>
          </w:tcPr>
          <w:p>
            <w:pPr>
              <w:spacing w:after="0" w:line="240" w:lineRule="auto"/>
            </w:pPr>
            <w:r>
              <w:rPr>
                <w:rFonts w:ascii="DejaVu Sans" w:hAnsi="DejaVu Sans" w:eastAsia="DejaVu Sans"/>
                <w:b/>
                <w:color w:val="1E2528"/>
                <w:sz w:val="15"/>
              </w:rPr>
              <w:t>Responsable de la prueba</w:t>
            </w:r>
          </w:p>
        </w:tc>
        <w:tc>
          <w:tcPr>
            <w:tcW w:type="dxa" w:w="7668"/>
            <w:vAlign w:val="center"/>
            <w:tcMar>
              <w:top w:w="65" w:type="dxa"/>
              <w:start w:w="120" w:type="dxa"/>
              <w:bottom w:w="65" w:type="dxa"/>
              <w:end w:w="120" w:type="dxa"/>
            </w:tcMar>
            <w:shd w:fill="EFF2F3"/>
          </w:tcPr>
          <w:p>
            <w:pPr>
              <w:spacing w:after="0" w:line="240" w:lineRule="auto"/>
            </w:pPr>
            <w:r>
              <w:rPr>
                <w:rFonts w:ascii="DejaVu Sans" w:hAnsi="DejaVu Sans" w:eastAsia="DejaVu Sans"/>
                <w:b w:val="0"/>
                <w:color w:val="1E2528"/>
                <w:sz w:val="15"/>
              </w:rPr>
              <w:t>Mantiene separados datos, registros, configuraciones y accesos; documenta las dependencias comunes y las divergencias.</w:t>
            </w:r>
          </w:p>
        </w:tc>
      </w:tr>
      <w:tr>
        <w:trPr>
          <w:cantSplit/>
        </w:trPr>
        <w:tc>
          <w:tcPr>
            <w:tcW w:type="dxa" w:w="2556"/>
            <w:vAlign w:val="center"/>
            <w:tcMar>
              <w:top w:w="65" w:type="dxa"/>
              <w:start w:w="120" w:type="dxa"/>
              <w:bottom w:w="65" w:type="dxa"/>
              <w:end w:w="120" w:type="dxa"/>
            </w:tcMar>
          </w:tcPr>
          <w:p>
            <w:pPr>
              <w:spacing w:after="0" w:line="240" w:lineRule="auto"/>
            </w:pPr>
            <w:r>
              <w:rPr>
                <w:rFonts w:ascii="DejaVu Sans" w:hAnsi="DejaVu Sans" w:eastAsia="DejaVu Sans"/>
                <w:b/>
                <w:color w:val="1E2528"/>
                <w:sz w:val="15"/>
              </w:rPr>
              <w:t>Persona revisora competente</w:t>
            </w:r>
          </w:p>
        </w:tc>
        <w:tc>
          <w:tcPr>
            <w:tcW w:type="dxa" w:w="7668"/>
            <w:vAlign w:val="center"/>
            <w:tcMar>
              <w:top w:w="65" w:type="dxa"/>
              <w:start w:w="120" w:type="dxa"/>
              <w:bottom w:w="65" w:type="dxa"/>
              <w:end w:w="120" w:type="dxa"/>
            </w:tcMar>
          </w:tcPr>
          <w:p>
            <w:pPr>
              <w:spacing w:after="0" w:line="240" w:lineRule="auto"/>
            </w:pPr>
            <w:r>
              <w:rPr>
                <w:rFonts w:ascii="DejaVu Sans" w:hAnsi="DejaVu Sans" w:eastAsia="DejaVu Sans"/>
                <w:b w:val="0"/>
                <w:color w:val="1E2528"/>
                <w:sz w:val="15"/>
              </w:rPr>
              <w:t>Reconstruye el punto controvertido dentro de la ventana de control disponible y puede restringir, suspender o interrumpir.</w:t>
            </w:r>
          </w:p>
        </w:tc>
      </w:tr>
      <w:tr>
        <w:trPr>
          <w:cantSplit/>
        </w:trPr>
        <w:tc>
          <w:tcPr>
            <w:tcW w:type="dxa" w:w="2556"/>
            <w:vAlign w:val="center"/>
            <w:tcMar>
              <w:top w:w="65" w:type="dxa"/>
              <w:start w:w="120" w:type="dxa"/>
              <w:bottom w:w="65" w:type="dxa"/>
              <w:end w:w="120" w:type="dxa"/>
            </w:tcMar>
            <w:shd w:fill="EFF2F3"/>
          </w:tcPr>
          <w:p>
            <w:pPr>
              <w:spacing w:after="0" w:line="240" w:lineRule="auto"/>
            </w:pPr>
            <w:r>
              <w:rPr>
                <w:rFonts w:ascii="DejaVu Sans" w:hAnsi="DejaVu Sans" w:eastAsia="DejaVu Sans"/>
                <w:b/>
                <w:color w:val="1E2528"/>
                <w:sz w:val="15"/>
              </w:rPr>
              <w:t>Autoridad para detener</w:t>
            </w:r>
          </w:p>
        </w:tc>
        <w:tc>
          <w:tcPr>
            <w:tcW w:type="dxa" w:w="7668"/>
            <w:vAlign w:val="center"/>
            <w:tcMar>
              <w:top w:w="65" w:type="dxa"/>
              <w:start w:w="120" w:type="dxa"/>
              <w:bottom w:w="65" w:type="dxa"/>
              <w:end w:w="120" w:type="dxa"/>
            </w:tcMar>
            <w:shd w:fill="EFF2F3"/>
          </w:tcPr>
          <w:p>
            <w:pPr>
              <w:spacing w:after="0" w:line="240" w:lineRule="auto"/>
            </w:pPr>
            <w:r>
              <w:rPr>
                <w:rFonts w:ascii="DejaVu Sans" w:hAnsi="DejaVu Sans" w:eastAsia="DejaVu Sans"/>
                <w:b w:val="0"/>
                <w:color w:val="1E2528"/>
                <w:sz w:val="15"/>
              </w:rPr>
              <w:t>Aplica la consecuencia escrita sin esperar al proveedor ni a un consenso informal.</w:t>
            </w:r>
          </w:p>
        </w:tc>
      </w:tr>
    </w:tbl>
    <w:p>
      <w:pPr>
        <w:spacing w:after="0"/>
      </w:pPr>
    </w:p>
    <w:p>
      <w:pPr>
        <w:pStyle w:val="Heading1"/>
      </w:pPr>
      <w:r>
        <w:t>3. Condiciones previas a la prueba</w:t>
      </w:r>
    </w:p>
    <w:tbl>
      <w:tblPr>
        <w:tblW w:type="dxa" w:w="10224"/>
        <w:jc w:val="left"/>
        <w:tblLayout w:type="fixed"/>
        <w:tblLook w:firstColumn="1" w:firstRow="1" w:lastColumn="0" w:lastRow="0" w:noHBand="0" w:noVBand="1" w:val="04A0"/>
        <w:tblInd w:w="120" w:type="dxa"/>
        <w:tblBorders>
          <w:top w:val="single" w:sz="5" w:space="0" w:color="C8D2D7"/>
          <w:left w:val="single" w:sz="5" w:space="0" w:color="C8D2D7"/>
          <w:bottom w:val="single" w:sz="5" w:space="0" w:color="C8D2D7"/>
          <w:right w:val="single" w:sz="5" w:space="0" w:color="C8D2D7"/>
          <w:insideH w:val="single" w:sz="5" w:space="0" w:color="C8D2D7"/>
          <w:insideV w:val="single" w:sz="5" w:space="0" w:color="C8D2D7"/>
        </w:tblBorders>
      </w:tblPr>
      <w:tblGrid>
        <w:gridCol w:w="2760"/>
        <w:gridCol w:w="7464"/>
      </w:tblGrid>
      <w:tr>
        <w:trPr>
          <w:tblHeader w:val="true"/>
          <w:cantSplit/>
        </w:trPr>
        <w:tc>
          <w:tcPr>
            <w:tcW w:type="dxa" w:w="2760"/>
            <w:vAlign w:val="center"/>
            <w:tcMar>
              <w:top w:w="65" w:type="dxa"/>
              <w:start w:w="120" w:type="dxa"/>
              <w:bottom w:w="65" w:type="dxa"/>
              <w:end w:w="120" w:type="dxa"/>
            </w:tcMar>
            <w:shd w:fill="123044"/>
          </w:tcPr>
          <w:p>
            <w:pPr>
              <w:spacing w:after="0" w:line="240" w:lineRule="auto"/>
            </w:pPr>
            <w:r>
              <w:rPr>
                <w:rFonts w:ascii="DejaVu Sans" w:hAnsi="DejaVu Sans" w:eastAsia="DejaVu Sans"/>
                <w:b/>
                <w:color w:val="FFFFFF"/>
                <w:sz w:val="14"/>
              </w:rPr>
              <w:t>Antes de activar</w:t>
            </w:r>
          </w:p>
        </w:tc>
        <w:tc>
          <w:tcPr>
            <w:tcW w:type="dxa" w:w="7464"/>
            <w:vAlign w:val="center"/>
            <w:tcMar>
              <w:top w:w="65" w:type="dxa"/>
              <w:start w:w="120" w:type="dxa"/>
              <w:bottom w:w="65" w:type="dxa"/>
              <w:end w:w="120" w:type="dxa"/>
            </w:tcMar>
            <w:shd w:fill="123044"/>
          </w:tcPr>
          <w:p>
            <w:pPr>
              <w:spacing w:after="0" w:line="240" w:lineRule="auto"/>
            </w:pPr>
            <w:r>
              <w:rPr>
                <w:rFonts w:ascii="DejaVu Sans" w:hAnsi="DejaVu Sans" w:eastAsia="DejaVu Sans"/>
                <w:b/>
                <w:color w:val="FFFFFF"/>
                <w:sz w:val="14"/>
              </w:rPr>
              <w:t>Pregunta que debe cerrarse</w:t>
            </w:r>
          </w:p>
        </w:tc>
      </w:tr>
      <w:tr>
        <w:trPr>
          <w:cantSplit/>
        </w:trPr>
        <w:tc>
          <w:tcPr>
            <w:tcW w:type="dxa" w:w="2760"/>
            <w:vAlign w:val="center"/>
            <w:tcMar>
              <w:top w:w="65" w:type="dxa"/>
              <w:start w:w="120" w:type="dxa"/>
              <w:bottom w:w="65" w:type="dxa"/>
              <w:end w:w="120" w:type="dxa"/>
            </w:tcMar>
          </w:tcPr>
          <w:p>
            <w:pPr>
              <w:spacing w:after="0" w:line="240" w:lineRule="auto"/>
            </w:pPr>
            <w:r>
              <w:rPr>
                <w:rFonts w:ascii="DejaVu Sans" w:hAnsi="DejaVu Sans" w:eastAsia="DejaVu Sans"/>
                <w:b/>
                <w:color w:val="1E2528"/>
                <w:sz w:val="14"/>
              </w:rPr>
              <w:t>Resultado legítimo</w:t>
            </w:r>
          </w:p>
        </w:tc>
        <w:tc>
          <w:tcPr>
            <w:tcW w:type="dxa" w:w="7464"/>
            <w:vAlign w:val="center"/>
            <w:tcMar>
              <w:top w:w="65" w:type="dxa"/>
              <w:start w:w="120" w:type="dxa"/>
              <w:bottom w:w="65" w:type="dxa"/>
              <w:end w:w="120" w:type="dxa"/>
            </w:tcMar>
          </w:tcPr>
          <w:p>
            <w:pPr>
              <w:spacing w:after="0" w:line="240" w:lineRule="auto"/>
            </w:pPr>
            <w:r>
              <w:rPr>
                <w:rFonts w:ascii="DejaVu Sans" w:hAnsi="DejaVu Sans" w:eastAsia="DejaVu Sans"/>
                <w:b w:val="0"/>
                <w:color w:val="1E2528"/>
                <w:sz w:val="14"/>
              </w:rPr>
              <w:t>¿Qué resultado sería aceptable y qué mejora observable lo justificaría?</w:t>
            </w:r>
          </w:p>
        </w:tc>
      </w:tr>
      <w:tr>
        <w:trPr>
          <w:cantSplit/>
        </w:trPr>
        <w:tc>
          <w:tcPr>
            <w:tcW w:type="dxa" w:w="2760"/>
            <w:vAlign w:val="center"/>
            <w:tcMar>
              <w:top w:w="65" w:type="dxa"/>
              <w:start w:w="120" w:type="dxa"/>
              <w:bottom w:w="65" w:type="dxa"/>
              <w:end w:w="120" w:type="dxa"/>
            </w:tcMar>
            <w:shd w:fill="EFF2F3"/>
          </w:tcPr>
          <w:p>
            <w:pPr>
              <w:spacing w:after="0" w:line="240" w:lineRule="auto"/>
            </w:pPr>
            <w:r>
              <w:rPr>
                <w:rFonts w:ascii="DejaVu Sans" w:hAnsi="DejaVu Sans" w:eastAsia="DejaVu Sans"/>
                <w:b/>
                <w:color w:val="1E2528"/>
                <w:sz w:val="14"/>
              </w:rPr>
              <w:t>Acciones prohibidas</w:t>
            </w:r>
          </w:p>
        </w:tc>
        <w:tc>
          <w:tcPr>
            <w:tcW w:type="dxa" w:w="7464"/>
            <w:vAlign w:val="center"/>
            <w:tcMar>
              <w:top w:w="65" w:type="dxa"/>
              <w:start w:w="120" w:type="dxa"/>
              <w:bottom w:w="65" w:type="dxa"/>
              <w:end w:w="120" w:type="dxa"/>
            </w:tcMar>
            <w:shd w:fill="EFF2F3"/>
          </w:tcPr>
          <w:p>
            <w:pPr>
              <w:spacing w:after="0" w:line="240" w:lineRule="auto"/>
            </w:pPr>
            <w:r>
              <w:rPr>
                <w:rFonts w:ascii="DejaVu Sans" w:hAnsi="DejaVu Sans" w:eastAsia="DejaVu Sans"/>
                <w:b w:val="0"/>
                <w:color w:val="1E2528"/>
                <w:sz w:val="14"/>
              </w:rPr>
              <w:t>¿Qué no puede decidir ni ejecutar ninguno de los dos sistemas?</w:t>
            </w:r>
          </w:p>
        </w:tc>
      </w:tr>
      <w:tr>
        <w:trPr>
          <w:cantSplit/>
        </w:trPr>
        <w:tc>
          <w:tcPr>
            <w:tcW w:type="dxa" w:w="2760"/>
            <w:vAlign w:val="center"/>
            <w:tcMar>
              <w:top w:w="65" w:type="dxa"/>
              <w:start w:w="120" w:type="dxa"/>
              <w:bottom w:w="65" w:type="dxa"/>
              <w:end w:w="120" w:type="dxa"/>
            </w:tcMar>
          </w:tcPr>
          <w:p>
            <w:pPr>
              <w:spacing w:after="0" w:line="240" w:lineRule="auto"/>
            </w:pPr>
            <w:r>
              <w:rPr>
                <w:rFonts w:ascii="DejaVu Sans" w:hAnsi="DejaVu Sans" w:eastAsia="DejaVu Sans"/>
                <w:b/>
                <w:color w:val="1E2528"/>
                <w:sz w:val="14"/>
              </w:rPr>
              <w:t>Grupos expuestos</w:t>
            </w:r>
          </w:p>
        </w:tc>
        <w:tc>
          <w:tcPr>
            <w:tcW w:type="dxa" w:w="7464"/>
            <w:vAlign w:val="center"/>
            <w:tcMar>
              <w:top w:w="65" w:type="dxa"/>
              <w:start w:w="120" w:type="dxa"/>
              <w:bottom w:w="65" w:type="dxa"/>
              <w:end w:w="120" w:type="dxa"/>
            </w:tcMar>
          </w:tcPr>
          <w:p>
            <w:pPr>
              <w:spacing w:after="0" w:line="240" w:lineRule="auto"/>
            </w:pPr>
            <w:r>
              <w:rPr>
                <w:rFonts w:ascii="DejaVu Sans" w:hAnsi="DejaVu Sans" w:eastAsia="DejaVu Sans"/>
                <w:b w:val="0"/>
                <w:color w:val="1E2528"/>
                <w:sz w:val="14"/>
              </w:rPr>
              <w:t>¿Quién recibe el beneficio y quién asume riesgo, demora, trabajo o dificultad para impugnar?</w:t>
            </w:r>
          </w:p>
        </w:tc>
      </w:tr>
      <w:tr>
        <w:trPr>
          <w:cantSplit/>
        </w:trPr>
        <w:tc>
          <w:tcPr>
            <w:tcW w:type="dxa" w:w="2760"/>
            <w:vAlign w:val="center"/>
            <w:tcMar>
              <w:top w:w="65" w:type="dxa"/>
              <w:start w:w="120" w:type="dxa"/>
              <w:bottom w:w="65" w:type="dxa"/>
              <w:end w:w="120" w:type="dxa"/>
            </w:tcMar>
            <w:shd w:fill="EFF2F3"/>
          </w:tcPr>
          <w:p>
            <w:pPr>
              <w:spacing w:after="0" w:line="240" w:lineRule="auto"/>
            </w:pPr>
            <w:r>
              <w:rPr>
                <w:rFonts w:ascii="DejaVu Sans" w:hAnsi="DejaVu Sans" w:eastAsia="DejaVu Sans"/>
                <w:b/>
                <w:color w:val="1E2528"/>
                <w:sz w:val="14"/>
              </w:rPr>
              <w:t>Ventana de control</w:t>
            </w:r>
          </w:p>
        </w:tc>
        <w:tc>
          <w:tcPr>
            <w:tcW w:type="dxa" w:w="7464"/>
            <w:vAlign w:val="center"/>
            <w:tcMar>
              <w:top w:w="65" w:type="dxa"/>
              <w:start w:w="120" w:type="dxa"/>
              <w:bottom w:w="65" w:type="dxa"/>
              <w:end w:w="120" w:type="dxa"/>
            </w:tcMar>
            <w:shd w:fill="EFF2F3"/>
          </w:tcPr>
          <w:p>
            <w:pPr>
              <w:spacing w:after="0" w:line="240" w:lineRule="auto"/>
            </w:pPr>
            <w:r>
              <w:rPr>
                <w:rFonts w:ascii="DejaVu Sans" w:hAnsi="DejaVu Sans" w:eastAsia="DejaVu Sans"/>
                <w:b w:val="0"/>
                <w:color w:val="1E2528"/>
                <w:sz w:val="14"/>
              </w:rPr>
              <w:t>¿Cuánto tiempo queda entre el error y una consecuencia que se vuelve difícil de corregir?</w:t>
            </w:r>
          </w:p>
        </w:tc>
      </w:tr>
      <w:tr>
        <w:trPr>
          <w:cantSplit/>
        </w:trPr>
        <w:tc>
          <w:tcPr>
            <w:tcW w:type="dxa" w:w="2760"/>
            <w:vAlign w:val="center"/>
            <w:tcMar>
              <w:top w:w="65" w:type="dxa"/>
              <w:start w:w="120" w:type="dxa"/>
              <w:bottom w:w="65" w:type="dxa"/>
              <w:end w:w="120" w:type="dxa"/>
            </w:tcMar>
          </w:tcPr>
          <w:p>
            <w:pPr>
              <w:spacing w:after="0" w:line="240" w:lineRule="auto"/>
            </w:pPr>
            <w:r>
              <w:rPr>
                <w:rFonts w:ascii="DejaVu Sans" w:hAnsi="DejaVu Sans" w:eastAsia="DejaVu Sans"/>
                <w:b/>
                <w:color w:val="1E2528"/>
                <w:sz w:val="14"/>
              </w:rPr>
              <w:t>Divergencia decisiva</w:t>
            </w:r>
          </w:p>
        </w:tc>
        <w:tc>
          <w:tcPr>
            <w:tcW w:type="dxa" w:w="7464"/>
            <w:vAlign w:val="center"/>
            <w:tcMar>
              <w:top w:w="65" w:type="dxa"/>
              <w:start w:w="120" w:type="dxa"/>
              <w:bottom w:w="65" w:type="dxa"/>
              <w:end w:w="120" w:type="dxa"/>
            </w:tcMar>
          </w:tcPr>
          <w:p>
            <w:pPr>
              <w:spacing w:after="0" w:line="240" w:lineRule="auto"/>
            </w:pPr>
            <w:r>
              <w:rPr>
                <w:rFonts w:ascii="DejaVu Sans" w:hAnsi="DejaVu Sans" w:eastAsia="DejaVu Sans"/>
                <w:b w:val="0"/>
                <w:color w:val="1E2528"/>
                <w:sz w:val="14"/>
              </w:rPr>
              <w:t>¿Qué desacuerdo obliga a reabrir el caso o impide que se produzca el efecto?</w:t>
            </w:r>
          </w:p>
        </w:tc>
      </w:tr>
      <w:tr>
        <w:trPr>
          <w:cantSplit/>
        </w:trPr>
        <w:tc>
          <w:tcPr>
            <w:tcW w:type="dxa" w:w="2760"/>
            <w:vAlign w:val="center"/>
            <w:tcMar>
              <w:top w:w="65" w:type="dxa"/>
              <w:start w:w="120" w:type="dxa"/>
              <w:bottom w:w="65" w:type="dxa"/>
              <w:end w:w="120" w:type="dxa"/>
            </w:tcMar>
            <w:shd w:fill="EFF2F3"/>
          </w:tcPr>
          <w:p>
            <w:pPr>
              <w:spacing w:after="0" w:line="240" w:lineRule="auto"/>
            </w:pPr>
            <w:r>
              <w:rPr>
                <w:rFonts w:ascii="DejaVu Sans" w:hAnsi="DejaVu Sans" w:eastAsia="DejaVu Sans"/>
                <w:b/>
                <w:color w:val="1E2528"/>
                <w:sz w:val="14"/>
              </w:rPr>
              <w:t>Interrupción</w:t>
            </w:r>
          </w:p>
        </w:tc>
        <w:tc>
          <w:tcPr>
            <w:tcW w:type="dxa" w:w="7464"/>
            <w:vAlign w:val="center"/>
            <w:tcMar>
              <w:top w:w="65" w:type="dxa"/>
              <w:start w:w="120" w:type="dxa"/>
              <w:bottom w:w="65" w:type="dxa"/>
              <w:end w:w="120" w:type="dxa"/>
            </w:tcMar>
            <w:shd w:fill="EFF2F3"/>
          </w:tcPr>
          <w:p>
            <w:pPr>
              <w:spacing w:after="0" w:line="240" w:lineRule="auto"/>
            </w:pPr>
            <w:r>
              <w:rPr>
                <w:rFonts w:ascii="DejaVu Sans" w:hAnsi="DejaVu Sans" w:eastAsia="DejaVu Sans"/>
                <w:b w:val="0"/>
                <w:color w:val="1E2528"/>
                <w:sz w:val="14"/>
              </w:rPr>
              <w:t>¿Quién puede detener el proceso, ante qué señal y qué servicio continúa en modo degradado?</w:t>
            </w:r>
          </w:p>
        </w:tc>
      </w:tr>
      <w:tr>
        <w:trPr>
          <w:cantSplit/>
        </w:trPr>
        <w:tc>
          <w:tcPr>
            <w:tcW w:type="dxa" w:w="2760"/>
            <w:vAlign w:val="center"/>
            <w:tcMar>
              <w:top w:w="65" w:type="dxa"/>
              <w:start w:w="120" w:type="dxa"/>
              <w:bottom w:w="65" w:type="dxa"/>
              <w:end w:w="120" w:type="dxa"/>
            </w:tcMar>
          </w:tcPr>
          <w:p>
            <w:pPr>
              <w:spacing w:after="0" w:line="240" w:lineRule="auto"/>
            </w:pPr>
            <w:r>
              <w:rPr>
                <w:rFonts w:ascii="DejaVu Sans" w:hAnsi="DejaVu Sans" w:eastAsia="DejaVu Sans"/>
                <w:b/>
                <w:color w:val="1E2528"/>
                <w:sz w:val="14"/>
              </w:rPr>
              <w:t>Salida</w:t>
            </w:r>
          </w:p>
        </w:tc>
        <w:tc>
          <w:tcPr>
            <w:tcW w:type="dxa" w:w="7464"/>
            <w:vAlign w:val="center"/>
            <w:tcMar>
              <w:top w:w="65" w:type="dxa"/>
              <w:start w:w="120" w:type="dxa"/>
              <w:bottom w:w="65" w:type="dxa"/>
              <w:end w:w="120" w:type="dxa"/>
            </w:tcMar>
          </w:tcPr>
          <w:p>
            <w:pPr>
              <w:spacing w:after="0" w:line="240" w:lineRule="auto"/>
            </w:pPr>
            <w:r>
              <w:rPr>
                <w:rFonts w:ascii="DejaVu Sans" w:hAnsi="DejaVu Sans" w:eastAsia="DejaVu Sans"/>
                <w:b w:val="0"/>
                <w:color w:val="1E2528"/>
                <w:sz w:val="14"/>
              </w:rPr>
              <w:t>¿Pueden reconstruirse datos, registros, configuraciones y permisos sin el servicio principal?</w:t>
            </w:r>
          </w:p>
        </w:tc>
      </w:tr>
    </w:tbl>
    <w:p>
      <w:pPr>
        <w:spacing w:after="0"/>
      </w:pPr>
    </w:p>
    <w:p>
      <w:pPr>
        <w:pStyle w:val="Heading1"/>
      </w:pPr>
      <w:r>
        <w:t>4. Biblioteca de casos</w:t>
      </w:r>
    </w:p>
    <w:p>
      <w:pPr>
        <w:keepLines w:val="0"/>
      </w:pPr>
      <w:r>
        <w:rPr>
          <w:rFonts w:ascii="DejaVu Sans" w:hAnsi="DejaVu Sans" w:eastAsia="DejaVu Sans"/>
          <w:color w:val="1E2528"/>
          <w:sz w:val="18"/>
        </w:rPr>
        <w:t>La prueba no utiliza únicamente muestras convenientes. Construye una biblioteca versionada de fallas realistas y conserva, para cada caso, el resultado legítimo, aquello que podría refutarlo y la persona competente capaz de reconstruirlo.</w:t>
      </w:r>
    </w:p>
    <w:tbl>
      <w:tblPr>
        <w:tblW w:type="dxa" w:w="10224"/>
        <w:jc w:val="left"/>
        <w:tblLayout w:type="fixed"/>
        <w:tblLook w:firstColumn="1" w:firstRow="1" w:lastColumn="0" w:lastRow="0" w:noHBand="0" w:noVBand="1" w:val="04A0"/>
        <w:tblInd w:w="120" w:type="dxa"/>
        <w:tblBorders>
          <w:top w:val="single" w:sz="5" w:space="0" w:color="C8D2D7"/>
          <w:left w:val="single" w:sz="5" w:space="0" w:color="C8D2D7"/>
          <w:bottom w:val="single" w:sz="5" w:space="0" w:color="C8D2D7"/>
          <w:right w:val="single" w:sz="5" w:space="0" w:color="C8D2D7"/>
          <w:insideH w:val="single" w:sz="5" w:space="0" w:color="C8D2D7"/>
          <w:insideV w:val="single" w:sz="5" w:space="0" w:color="C8D2D7"/>
        </w:tblBorders>
      </w:tblPr>
      <w:tblGrid>
        <w:gridCol w:w="2454"/>
        <w:gridCol w:w="7770"/>
      </w:tblGrid>
      <w:tr>
        <w:trPr>
          <w:tblHeader w:val="true"/>
          <w:cantSplit/>
        </w:trPr>
        <w:tc>
          <w:tcPr>
            <w:tcW w:type="dxa" w:w="2454"/>
            <w:vAlign w:val="center"/>
            <w:tcMar>
              <w:top w:w="90" w:type="dxa"/>
              <w:start w:w="120" w:type="dxa"/>
              <w:bottom w:w="90" w:type="dxa"/>
              <w:end w:w="120" w:type="dxa"/>
            </w:tcMar>
            <w:shd w:fill="123044"/>
          </w:tcPr>
          <w:p>
            <w:pPr>
              <w:spacing w:after="0" w:line="259" w:lineRule="auto"/>
            </w:pPr>
            <w:r>
              <w:rPr>
                <w:rFonts w:ascii="DejaVu Sans" w:hAnsi="DejaVu Sans" w:eastAsia="DejaVu Sans"/>
                <w:b/>
                <w:color w:val="FFFFFF"/>
                <w:sz w:val="16"/>
              </w:rPr>
              <w:t>Familia de casos</w:t>
            </w:r>
          </w:p>
        </w:tc>
        <w:tc>
          <w:tcPr>
            <w:tcW w:type="dxa" w:w="7770"/>
            <w:vAlign w:val="center"/>
            <w:tcMar>
              <w:top w:w="90" w:type="dxa"/>
              <w:start w:w="120" w:type="dxa"/>
              <w:bottom w:w="90" w:type="dxa"/>
              <w:end w:w="120" w:type="dxa"/>
            </w:tcMar>
            <w:shd w:fill="123044"/>
          </w:tcPr>
          <w:p>
            <w:pPr>
              <w:spacing w:after="0" w:line="259" w:lineRule="auto"/>
            </w:pPr>
            <w:r>
              <w:rPr>
                <w:rFonts w:ascii="DejaVu Sans" w:hAnsi="DejaVu Sans" w:eastAsia="DejaVu Sans"/>
                <w:b/>
                <w:color w:val="FFFFFF"/>
                <w:sz w:val="16"/>
              </w:rPr>
              <w:t>Qué debe ponerse a prueba</w:t>
            </w:r>
          </w:p>
        </w:tc>
      </w:tr>
      <w:tr>
        <w:trPr>
          <w:cantSplit/>
        </w:trPr>
        <w:tc>
          <w:tcPr>
            <w:tcW w:type="dxa" w:w="2454"/>
            <w:vAlign w:val="center"/>
            <w:tcMar>
              <w:top w:w="90" w:type="dxa"/>
              <w:start w:w="120" w:type="dxa"/>
              <w:bottom w:w="90" w:type="dxa"/>
              <w:end w:w="120" w:type="dxa"/>
            </w:tcMar>
          </w:tcPr>
          <w:p>
            <w:pPr>
              <w:spacing w:after="0" w:line="259" w:lineRule="auto"/>
            </w:pPr>
            <w:r>
              <w:rPr>
                <w:rFonts w:ascii="DejaVu Sans" w:hAnsi="DejaVu Sans" w:eastAsia="DejaVu Sans"/>
                <w:b/>
                <w:color w:val="1E2528"/>
                <w:sz w:val="16"/>
              </w:rPr>
              <w:t>Caso ordinario</w:t>
            </w:r>
          </w:p>
        </w:tc>
        <w:tc>
          <w:tcPr>
            <w:tcW w:type="dxa" w:w="7770"/>
            <w:vAlign w:val="center"/>
            <w:tcMar>
              <w:top w:w="90" w:type="dxa"/>
              <w:start w:w="120" w:type="dxa"/>
              <w:bottom w:w="90" w:type="dxa"/>
              <w:end w:w="120" w:type="dxa"/>
            </w:tcMar>
          </w:tcPr>
          <w:p>
            <w:pPr>
              <w:spacing w:after="0" w:line="259" w:lineRule="auto"/>
            </w:pPr>
            <w:r>
              <w:rPr>
                <w:rFonts w:ascii="DejaVu Sans" w:hAnsi="DejaVu Sans" w:eastAsia="DejaVu Sans"/>
                <w:b w:val="0"/>
                <w:color w:val="1E2528"/>
                <w:sz w:val="16"/>
              </w:rPr>
              <w:t>Desempeño esperado, tiempo real y legibilidad de la explicación.</w:t>
            </w:r>
          </w:p>
        </w:tc>
      </w:tr>
      <w:tr>
        <w:trPr>
          <w:cantSplit/>
        </w:trPr>
        <w:tc>
          <w:tcPr>
            <w:tcW w:type="dxa" w:w="2454"/>
            <w:vAlign w:val="center"/>
            <w:tcMar>
              <w:top w:w="90" w:type="dxa"/>
              <w:start w:w="120" w:type="dxa"/>
              <w:bottom w:w="90" w:type="dxa"/>
              <w:end w:w="120" w:type="dxa"/>
            </w:tcMar>
            <w:shd w:fill="EFF2F3"/>
          </w:tcPr>
          <w:p>
            <w:pPr>
              <w:spacing w:after="0" w:line="259" w:lineRule="auto"/>
            </w:pPr>
            <w:r>
              <w:rPr>
                <w:rFonts w:ascii="DejaVu Sans" w:hAnsi="DejaVu Sans" w:eastAsia="DejaVu Sans"/>
                <w:b/>
                <w:color w:val="1E2528"/>
                <w:sz w:val="16"/>
              </w:rPr>
              <w:t>Caso límite</w:t>
            </w:r>
          </w:p>
        </w:tc>
        <w:tc>
          <w:tcPr>
            <w:tcW w:type="dxa" w:w="7770"/>
            <w:vAlign w:val="center"/>
            <w:tcMar>
              <w:top w:w="90" w:type="dxa"/>
              <w:start w:w="120" w:type="dxa"/>
              <w:bottom w:w="90" w:type="dxa"/>
              <w:end w:w="120" w:type="dxa"/>
            </w:tcMar>
            <w:shd w:fill="EFF2F3"/>
          </w:tcPr>
          <w:p>
            <w:pPr>
              <w:spacing w:after="0" w:line="259" w:lineRule="auto"/>
            </w:pPr>
            <w:r>
              <w:rPr>
                <w:rFonts w:ascii="DejaVu Sans" w:hAnsi="DejaVu Sans" w:eastAsia="DejaVu Sans"/>
                <w:b w:val="0"/>
                <w:color w:val="1E2528"/>
                <w:sz w:val="16"/>
              </w:rPr>
              <w:t>Una condición rara pero plausible capaz de cambiar el resultado.</w:t>
            </w:r>
          </w:p>
        </w:tc>
      </w:tr>
      <w:tr>
        <w:trPr>
          <w:cantSplit/>
        </w:trPr>
        <w:tc>
          <w:tcPr>
            <w:tcW w:type="dxa" w:w="2454"/>
            <w:vAlign w:val="center"/>
            <w:tcMar>
              <w:top w:w="90" w:type="dxa"/>
              <w:start w:w="120" w:type="dxa"/>
              <w:bottom w:w="90" w:type="dxa"/>
              <w:end w:w="120" w:type="dxa"/>
            </w:tcMar>
          </w:tcPr>
          <w:p>
            <w:pPr>
              <w:spacing w:after="0" w:line="259" w:lineRule="auto"/>
            </w:pPr>
            <w:r>
              <w:rPr>
                <w:rFonts w:ascii="DejaVu Sans" w:hAnsi="DejaVu Sans" w:eastAsia="DejaVu Sans"/>
                <w:b/>
                <w:color w:val="1E2528"/>
                <w:sz w:val="16"/>
              </w:rPr>
              <w:t>Datos incompletos</w:t>
            </w:r>
          </w:p>
        </w:tc>
        <w:tc>
          <w:tcPr>
            <w:tcW w:type="dxa" w:w="7770"/>
            <w:vAlign w:val="center"/>
            <w:tcMar>
              <w:top w:w="90" w:type="dxa"/>
              <w:start w:w="120" w:type="dxa"/>
              <w:bottom w:w="90" w:type="dxa"/>
              <w:end w:w="120" w:type="dxa"/>
            </w:tcMar>
          </w:tcPr>
          <w:p>
            <w:pPr>
              <w:spacing w:after="0" w:line="259" w:lineRule="auto"/>
            </w:pPr>
            <w:r>
              <w:rPr>
                <w:rFonts w:ascii="DejaVu Sans" w:hAnsi="DejaVu Sans" w:eastAsia="DejaVu Sans"/>
                <w:b w:val="0"/>
                <w:color w:val="1E2528"/>
                <w:sz w:val="16"/>
              </w:rPr>
              <w:t>Capacidad para reconocer lo que falta e impedir una falsa confianza.</w:t>
            </w:r>
          </w:p>
        </w:tc>
      </w:tr>
      <w:tr>
        <w:trPr>
          <w:cantSplit/>
        </w:trPr>
        <w:tc>
          <w:tcPr>
            <w:tcW w:type="dxa" w:w="2454"/>
            <w:vAlign w:val="center"/>
            <w:tcMar>
              <w:top w:w="90" w:type="dxa"/>
              <w:start w:w="120" w:type="dxa"/>
              <w:bottom w:w="90" w:type="dxa"/>
              <w:end w:w="120" w:type="dxa"/>
            </w:tcMar>
            <w:shd w:fill="EFF2F3"/>
          </w:tcPr>
          <w:p>
            <w:pPr>
              <w:spacing w:after="0" w:line="259" w:lineRule="auto"/>
            </w:pPr>
            <w:r>
              <w:rPr>
                <w:rFonts w:ascii="DejaVu Sans" w:hAnsi="DejaVu Sans" w:eastAsia="DejaVu Sans"/>
                <w:b/>
                <w:color w:val="1E2528"/>
                <w:sz w:val="16"/>
              </w:rPr>
              <w:t>Instrucciones en conflicto</w:t>
            </w:r>
          </w:p>
        </w:tc>
        <w:tc>
          <w:tcPr>
            <w:tcW w:type="dxa" w:w="7770"/>
            <w:vAlign w:val="center"/>
            <w:tcMar>
              <w:top w:w="90" w:type="dxa"/>
              <w:start w:w="120" w:type="dxa"/>
              <w:bottom w:w="90" w:type="dxa"/>
              <w:end w:w="120" w:type="dxa"/>
            </w:tcMar>
            <w:shd w:fill="EFF2F3"/>
          </w:tcPr>
          <w:p>
            <w:pPr>
              <w:spacing w:after="0" w:line="259" w:lineRule="auto"/>
            </w:pPr>
            <w:r>
              <w:rPr>
                <w:rFonts w:ascii="DejaVu Sans" w:hAnsi="DejaVu Sans" w:eastAsia="DejaVu Sans"/>
                <w:b w:val="0"/>
                <w:color w:val="1E2528"/>
                <w:sz w:val="16"/>
              </w:rPr>
              <w:t>Prioridad, escalamiento y trazabilidad de la regla aplicada.</w:t>
            </w:r>
          </w:p>
        </w:tc>
      </w:tr>
      <w:tr>
        <w:trPr>
          <w:cantSplit/>
        </w:trPr>
        <w:tc>
          <w:tcPr>
            <w:tcW w:type="dxa" w:w="2454"/>
            <w:vAlign w:val="center"/>
            <w:tcMar>
              <w:top w:w="90" w:type="dxa"/>
              <w:start w:w="120" w:type="dxa"/>
              <w:bottom w:w="90" w:type="dxa"/>
              <w:end w:w="120" w:type="dxa"/>
            </w:tcMar>
          </w:tcPr>
          <w:p>
            <w:pPr>
              <w:spacing w:after="0" w:line="259" w:lineRule="auto"/>
            </w:pPr>
            <w:r>
              <w:rPr>
                <w:rFonts w:ascii="DejaVu Sans" w:hAnsi="DejaVu Sans" w:eastAsia="DejaVu Sans"/>
                <w:b/>
                <w:color w:val="1E2528"/>
                <w:sz w:val="16"/>
              </w:rPr>
              <w:t>Error correlacionado</w:t>
            </w:r>
          </w:p>
        </w:tc>
        <w:tc>
          <w:tcPr>
            <w:tcW w:type="dxa" w:w="7770"/>
            <w:vAlign w:val="center"/>
            <w:tcMar>
              <w:top w:w="90" w:type="dxa"/>
              <w:start w:w="120" w:type="dxa"/>
              <w:bottom w:w="90" w:type="dxa"/>
              <w:end w:w="120" w:type="dxa"/>
            </w:tcMar>
          </w:tcPr>
          <w:p>
            <w:pPr>
              <w:spacing w:after="0" w:line="259" w:lineRule="auto"/>
            </w:pPr>
            <w:r>
              <w:rPr>
                <w:rFonts w:ascii="DejaVu Sans" w:hAnsi="DejaVu Sans" w:eastAsia="DejaVu Sans"/>
                <w:b w:val="0"/>
                <w:color w:val="1E2528"/>
                <w:sz w:val="16"/>
              </w:rPr>
              <w:t>Una fuente, anotación, dependencia o métrica compartida que puede inducir al mismo error en ambos sistemas.</w:t>
            </w:r>
          </w:p>
        </w:tc>
      </w:tr>
      <w:tr>
        <w:trPr>
          <w:cantSplit/>
        </w:trPr>
        <w:tc>
          <w:tcPr>
            <w:tcW w:type="dxa" w:w="2454"/>
            <w:vAlign w:val="center"/>
            <w:tcMar>
              <w:top w:w="90" w:type="dxa"/>
              <w:start w:w="120" w:type="dxa"/>
              <w:bottom w:w="90" w:type="dxa"/>
              <w:end w:w="120" w:type="dxa"/>
            </w:tcMar>
            <w:shd w:fill="EFF2F3"/>
          </w:tcPr>
          <w:p>
            <w:pPr>
              <w:spacing w:after="0" w:line="259" w:lineRule="auto"/>
            </w:pPr>
            <w:r>
              <w:rPr>
                <w:rFonts w:ascii="DejaVu Sans" w:hAnsi="DejaVu Sans" w:eastAsia="DejaVu Sans"/>
                <w:b/>
                <w:color w:val="1E2528"/>
                <w:sz w:val="16"/>
              </w:rPr>
              <w:t>Sobrecarga</w:t>
            </w:r>
          </w:p>
        </w:tc>
        <w:tc>
          <w:tcPr>
            <w:tcW w:type="dxa" w:w="7770"/>
            <w:vAlign w:val="center"/>
            <w:tcMar>
              <w:top w:w="90" w:type="dxa"/>
              <w:start w:w="120" w:type="dxa"/>
              <w:bottom w:w="90" w:type="dxa"/>
              <w:end w:w="120" w:type="dxa"/>
            </w:tcMar>
            <w:shd w:fill="EFF2F3"/>
          </w:tcPr>
          <w:p>
            <w:pPr>
              <w:spacing w:after="0" w:line="259" w:lineRule="auto"/>
            </w:pPr>
            <w:r>
              <w:rPr>
                <w:rFonts w:ascii="DejaVu Sans" w:hAnsi="DejaVu Sans" w:eastAsia="DejaVu Sans"/>
                <w:b w:val="0"/>
                <w:color w:val="1E2528"/>
                <w:sz w:val="16"/>
              </w:rPr>
              <w:t>Concurrencia, atención y capacidad de revisión bajo el volumen previsto.</w:t>
            </w:r>
          </w:p>
        </w:tc>
      </w:tr>
      <w:tr>
        <w:trPr>
          <w:cantSplit/>
        </w:trPr>
        <w:tc>
          <w:tcPr>
            <w:tcW w:type="dxa" w:w="2454"/>
            <w:vAlign w:val="center"/>
            <w:tcMar>
              <w:top w:w="90" w:type="dxa"/>
              <w:start w:w="120" w:type="dxa"/>
              <w:bottom w:w="90" w:type="dxa"/>
              <w:end w:w="120" w:type="dxa"/>
            </w:tcMar>
          </w:tcPr>
          <w:p>
            <w:pPr>
              <w:spacing w:after="0" w:line="259" w:lineRule="auto"/>
            </w:pPr>
            <w:r>
              <w:rPr>
                <w:rFonts w:ascii="DejaVu Sans" w:hAnsi="DejaVu Sans" w:eastAsia="DejaVu Sans"/>
                <w:b/>
                <w:color w:val="1E2528"/>
                <w:sz w:val="16"/>
              </w:rPr>
              <w:t>Indisponibilidad</w:t>
            </w:r>
          </w:p>
        </w:tc>
        <w:tc>
          <w:tcPr>
            <w:tcW w:type="dxa" w:w="7770"/>
            <w:vAlign w:val="center"/>
            <w:tcMar>
              <w:top w:w="90" w:type="dxa"/>
              <w:start w:w="120" w:type="dxa"/>
              <w:bottom w:w="90" w:type="dxa"/>
              <w:end w:w="120" w:type="dxa"/>
            </w:tcMar>
          </w:tcPr>
          <w:p>
            <w:pPr>
              <w:spacing w:after="0" w:line="259" w:lineRule="auto"/>
            </w:pPr>
            <w:r>
              <w:rPr>
                <w:rFonts w:ascii="DejaVu Sans" w:hAnsi="DejaVu Sans" w:eastAsia="DejaVu Sans"/>
                <w:b w:val="0"/>
                <w:color w:val="1E2528"/>
                <w:sz w:val="16"/>
              </w:rPr>
              <w:t>Modo degradado, continuidad, recuperación y costos transferidos a usuarios y personal.</w:t>
            </w:r>
          </w:p>
        </w:tc>
      </w:tr>
      <w:tr>
        <w:trPr>
          <w:cantSplit/>
        </w:trPr>
        <w:tc>
          <w:tcPr>
            <w:tcW w:type="dxa" w:w="2454"/>
            <w:vAlign w:val="center"/>
            <w:tcMar>
              <w:top w:w="90" w:type="dxa"/>
              <w:start w:w="120" w:type="dxa"/>
              <w:bottom w:w="90" w:type="dxa"/>
              <w:end w:w="120" w:type="dxa"/>
            </w:tcMar>
            <w:shd w:fill="EFF2F3"/>
          </w:tcPr>
          <w:p>
            <w:pPr>
              <w:spacing w:after="0" w:line="259" w:lineRule="auto"/>
            </w:pPr>
            <w:r>
              <w:rPr>
                <w:rFonts w:ascii="DejaVu Sans" w:hAnsi="DejaVu Sans" w:eastAsia="DejaVu Sans"/>
                <w:b/>
                <w:color w:val="1E2528"/>
                <w:sz w:val="16"/>
              </w:rPr>
              <w:t>Salida</w:t>
            </w:r>
          </w:p>
        </w:tc>
        <w:tc>
          <w:tcPr>
            <w:tcW w:type="dxa" w:w="7770"/>
            <w:vAlign w:val="center"/>
            <w:tcMar>
              <w:top w:w="90" w:type="dxa"/>
              <w:start w:w="120" w:type="dxa"/>
              <w:bottom w:w="90" w:type="dxa"/>
              <w:end w:w="120" w:type="dxa"/>
            </w:tcMar>
            <w:shd w:fill="EFF2F3"/>
          </w:tcPr>
          <w:p>
            <w:pPr>
              <w:spacing w:after="0" w:line="259" w:lineRule="auto"/>
            </w:pPr>
            <w:r>
              <w:rPr>
                <w:rFonts w:ascii="DejaVu Sans" w:hAnsi="DejaVu Sans" w:eastAsia="DejaVu Sans"/>
                <w:b w:val="0"/>
                <w:color w:val="1E2528"/>
                <w:sz w:val="16"/>
              </w:rPr>
              <w:t>Reapertura de un caso fuera del servicio principal con permisos y configuraciones funcionales.</w:t>
            </w:r>
          </w:p>
        </w:tc>
      </w:tr>
    </w:tbl>
    <w:p>
      <w:pPr>
        <w:spacing w:after="0"/>
      </w:pPr>
    </w:p>
    <w:p>
      <w:pPr>
        <w:pStyle w:val="Heading1"/>
      </w:pPr>
      <w:r>
        <w:t>5. Procedimiento por fases</w:t>
      </w:r>
    </w:p>
    <w:p>
      <w:pPr>
        <w:pStyle w:val="Heading2"/>
      </w:pPr>
      <w:r>
        <w:t>Fase 0 - Preparación</w:t>
      </w:r>
    </w:p>
    <w:p>
      <w:pPr>
        <w:keepLines w:val="0"/>
      </w:pPr>
      <w:r>
        <w:rPr>
          <w:rFonts w:ascii="DejaVu Sans" w:hAnsi="DejaVu Sans" w:eastAsia="DejaVu Sans"/>
          <w:color w:val="1E2528"/>
          <w:sz w:val="18"/>
        </w:rPr>
        <w:t>Complete Propósito, Mandato, Prueba, Distribución, Daño, Recurso y Salida. Registre la divergencia decisiva, el umbral de interrupción, el modo degradado y los datos prohibidos antes de observar el desempeño de cualquiera de los sistemas.</w:t>
      </w:r>
    </w:p>
    <w:p>
      <w:pPr>
        <w:pStyle w:val="Heading2"/>
      </w:pPr>
      <w:r>
        <w:t>Fase 1 - Modo sombra separado</w:t>
      </w:r>
    </w:p>
    <w:p>
      <w:pPr>
        <w:keepLines w:val="0"/>
      </w:pPr>
      <w:r>
        <w:rPr>
          <w:rFonts w:ascii="DejaVu Sans" w:hAnsi="DejaVu Sans" w:eastAsia="DejaVu Sans"/>
          <w:color w:val="1E2528"/>
          <w:sz w:val="18"/>
        </w:rPr>
        <w:t>A y B observan los mismos casos sin producir efectos externos. Entradas, versiones, resultados, fuentes y registros permanecen separados. Una persona compara los puntos decisivos, no solo la similitud lingüística.</w:t>
      </w:r>
    </w:p>
    <w:p>
      <w:pPr>
        <w:pStyle w:val="Heading2"/>
      </w:pPr>
      <w:r>
        <w:t>Fase 2 - Errores correlacionados</w:t>
      </w:r>
    </w:p>
    <w:p>
      <w:pPr>
        <w:keepLines w:val="0"/>
      </w:pPr>
      <w:r>
        <w:rPr>
          <w:rFonts w:ascii="DejaVu Sans" w:hAnsi="DejaVu Sans" w:eastAsia="DejaVu Sans"/>
          <w:color w:val="1E2528"/>
          <w:sz w:val="18"/>
        </w:rPr>
        <w:t>Introduzca fuentes comunes defectuosas, datos faltantes, excepciones raras, instrucciones en conflicto, componentes compartidos e indisponibilidad. Verifique si el acuerdo oculta una dependencia común.</w:t>
      </w:r>
    </w:p>
    <w:p>
      <w:pPr>
        <w:pStyle w:val="Heading2"/>
      </w:pPr>
      <w:r>
        <w:t>Fase 3 - Reconstrucción bajo carga</w:t>
      </w:r>
    </w:p>
    <w:p>
      <w:pPr>
        <w:keepLines w:val="0"/>
      </w:pPr>
      <w:r>
        <w:rPr>
          <w:rFonts w:ascii="DejaVu Sans" w:hAnsi="DejaVu Sans" w:eastAsia="DejaVu Sans"/>
          <w:color w:val="1E2528"/>
          <w:sz w:val="18"/>
        </w:rPr>
        <w:t>Repita la prueba con el volumen y la concurrencia previstos. Mida el tiempo necesario para encontrar el hecho que cambia el resultado, comparar la alternativa y detenerse antes de que ocurra el daño.</w:t>
      </w:r>
    </w:p>
    <w:p>
      <w:pPr>
        <w:pStyle w:val="Heading2"/>
      </w:pPr>
      <w:r>
        <w:t>Fase 4 - Volumen limitado y reversible</w:t>
      </w:r>
    </w:p>
    <w:p>
      <w:pPr>
        <w:keepLines w:val="0"/>
      </w:pPr>
      <w:r>
        <w:rPr>
          <w:rFonts w:ascii="DejaVu Sans" w:hAnsi="DejaVu Sans" w:eastAsia="DejaVu Sans"/>
          <w:color w:val="1E2528"/>
          <w:sz w:val="18"/>
        </w:rPr>
        <w:t>Solo si las fases anteriores se sostienen, utilice un alcance restringido con efectos reversibles, registros completos, una persona localizable e interrupción inmediata. Un promedio favorable no autoriza automáticamente la ampliación.</w:t>
      </w:r>
    </w:p>
    <w:p>
      <w:pPr>
        <w:pStyle w:val="Heading2"/>
      </w:pPr>
      <w:r>
        <w:t>Fase 5 - Salida y revisión</w:t>
      </w:r>
    </w:p>
    <w:p>
      <w:pPr>
        <w:keepLines w:val="0"/>
      </w:pPr>
      <w:r>
        <w:rPr>
          <w:rFonts w:ascii="DejaVu Sans" w:hAnsi="DejaVu Sans" w:eastAsia="DejaVu Sans"/>
          <w:color w:val="1E2528"/>
          <w:sz w:val="18"/>
        </w:rPr>
        <w:t>Exporte y reabra un caso con datos, configuraciones y permisos fuera del servicio principal. Revise cuando cambien el modelo, los datos, el proveedor, la escala, la tarea o las personas responsables, o al llegar el plazo establecido.</w:t>
      </w:r>
    </w:p>
    <w:p>
      <w:pPr>
        <w:pStyle w:val="Heading1"/>
      </w:pPr>
      <w:r>
        <w:t>6. Condiciones específicas de la revisión con dos sistemas</w:t>
      </w:r>
    </w:p>
    <w:tbl>
      <w:tblPr>
        <w:tblW w:type="dxa" w:w="10224"/>
        <w:jc w:val="left"/>
        <w:tblLayout w:type="fixed"/>
        <w:tblLook w:firstColumn="1" w:firstRow="1" w:lastColumn="0" w:lastRow="0" w:noHBand="0" w:noVBand="1" w:val="04A0"/>
        <w:tblInd w:w="120" w:type="dxa"/>
        <w:tblBorders>
          <w:top w:val="single" w:sz="5" w:space="0" w:color="C8D2D7"/>
          <w:left w:val="single" w:sz="5" w:space="0" w:color="C8D2D7"/>
          <w:bottom w:val="single" w:sz="5" w:space="0" w:color="C8D2D7"/>
          <w:right w:val="single" w:sz="5" w:space="0" w:color="C8D2D7"/>
          <w:insideH w:val="single" w:sz="5" w:space="0" w:color="C8D2D7"/>
          <w:insideV w:val="single" w:sz="5" w:space="0" w:color="C8D2D7"/>
        </w:tblBorders>
      </w:tblPr>
      <w:tblGrid>
        <w:gridCol w:w="3067"/>
        <w:gridCol w:w="7157"/>
      </w:tblGrid>
      <w:tr>
        <w:trPr>
          <w:tblHeader w:val="true"/>
          <w:cantSplit/>
        </w:trPr>
        <w:tc>
          <w:tcPr>
            <w:tcW w:type="dxa" w:w="3067"/>
            <w:vAlign w:val="center"/>
            <w:tcMar>
              <w:top w:w="90" w:type="dxa"/>
              <w:start w:w="120" w:type="dxa"/>
              <w:bottom w:w="90" w:type="dxa"/>
              <w:end w:w="120" w:type="dxa"/>
            </w:tcMar>
            <w:shd w:fill="123044"/>
          </w:tcPr>
          <w:p>
            <w:pPr>
              <w:spacing w:after="0" w:line="259" w:lineRule="auto"/>
            </w:pPr>
            <w:r>
              <w:rPr>
                <w:rFonts w:ascii="DejaVu Sans" w:hAnsi="DejaVu Sans" w:eastAsia="DejaVu Sans"/>
                <w:b/>
                <w:color w:val="FFFFFF"/>
                <w:sz w:val="16"/>
              </w:rPr>
              <w:t>Condición</w:t>
            </w:r>
          </w:p>
        </w:tc>
        <w:tc>
          <w:tcPr>
            <w:tcW w:type="dxa" w:w="7157"/>
            <w:vAlign w:val="center"/>
            <w:tcMar>
              <w:top w:w="90" w:type="dxa"/>
              <w:start w:w="120" w:type="dxa"/>
              <w:bottom w:w="90" w:type="dxa"/>
              <w:end w:w="120" w:type="dxa"/>
            </w:tcMar>
            <w:shd w:fill="123044"/>
          </w:tcPr>
          <w:p>
            <w:pPr>
              <w:spacing w:after="0" w:line="259" w:lineRule="auto"/>
            </w:pPr>
            <w:r>
              <w:rPr>
                <w:rFonts w:ascii="DejaVu Sans" w:hAnsi="DejaVu Sans" w:eastAsia="DejaVu Sans"/>
                <w:b/>
                <w:color w:val="FFFFFF"/>
                <w:sz w:val="16"/>
              </w:rPr>
              <w:t>Prueba requerida</w:t>
            </w:r>
          </w:p>
        </w:tc>
      </w:tr>
      <w:tr>
        <w:trPr>
          <w:cantSplit/>
        </w:trPr>
        <w:tc>
          <w:tcPr>
            <w:tcW w:type="dxa" w:w="3067"/>
            <w:vAlign w:val="center"/>
            <w:tcMar>
              <w:top w:w="90" w:type="dxa"/>
              <w:start w:w="120" w:type="dxa"/>
              <w:bottom w:w="90" w:type="dxa"/>
              <w:end w:w="120" w:type="dxa"/>
            </w:tcMar>
          </w:tcPr>
          <w:p>
            <w:pPr>
              <w:spacing w:after="0" w:line="259" w:lineRule="auto"/>
            </w:pPr>
            <w:r>
              <w:rPr>
                <w:rFonts w:ascii="DejaVu Sans" w:hAnsi="DejaVu Sans" w:eastAsia="DejaVu Sans"/>
                <w:b/>
                <w:color w:val="1E2528"/>
                <w:sz w:val="16"/>
              </w:rPr>
              <w:t>Independencia efectiva</w:t>
            </w:r>
          </w:p>
        </w:tc>
        <w:tc>
          <w:tcPr>
            <w:tcW w:type="dxa" w:w="7157"/>
            <w:vAlign w:val="center"/>
            <w:tcMar>
              <w:top w:w="90" w:type="dxa"/>
              <w:start w:w="120" w:type="dxa"/>
              <w:bottom w:w="90" w:type="dxa"/>
              <w:end w:w="120" w:type="dxa"/>
            </w:tcMar>
          </w:tcPr>
          <w:p>
            <w:pPr>
              <w:spacing w:after="0" w:line="259" w:lineRule="auto"/>
            </w:pPr>
            <w:r>
              <w:rPr>
                <w:rFonts w:ascii="DejaVu Sans" w:hAnsi="DejaVu Sans" w:eastAsia="DejaVu Sans"/>
                <w:b w:val="0"/>
                <w:color w:val="1E2528"/>
                <w:sz w:val="16"/>
              </w:rPr>
              <w:t>Demostrar separación o diferencias pertinentes en fuentes, datos, objetivos y registros. Un nombre, modelo o proveedor distinto no basta.</w:t>
            </w:r>
          </w:p>
        </w:tc>
      </w:tr>
      <w:tr>
        <w:trPr>
          <w:cantSplit/>
        </w:trPr>
        <w:tc>
          <w:tcPr>
            <w:tcW w:type="dxa" w:w="3067"/>
            <w:vAlign w:val="center"/>
            <w:tcMar>
              <w:top w:w="90" w:type="dxa"/>
              <w:start w:w="120" w:type="dxa"/>
              <w:bottom w:w="90" w:type="dxa"/>
              <w:end w:w="120" w:type="dxa"/>
            </w:tcMar>
            <w:shd w:fill="EFF2F3"/>
          </w:tcPr>
          <w:p>
            <w:pPr>
              <w:spacing w:after="0" w:line="259" w:lineRule="auto"/>
            </w:pPr>
            <w:r>
              <w:rPr>
                <w:rFonts w:ascii="DejaVu Sans" w:hAnsi="DejaVu Sans" w:eastAsia="DejaVu Sans"/>
                <w:b/>
                <w:color w:val="1E2528"/>
                <w:sz w:val="16"/>
              </w:rPr>
              <w:t>Errores correlacionados</w:t>
            </w:r>
          </w:p>
        </w:tc>
        <w:tc>
          <w:tcPr>
            <w:tcW w:type="dxa" w:w="7157"/>
            <w:vAlign w:val="center"/>
            <w:tcMar>
              <w:top w:w="90" w:type="dxa"/>
              <w:start w:w="120" w:type="dxa"/>
              <w:bottom w:w="90" w:type="dxa"/>
              <w:end w:w="120" w:type="dxa"/>
            </w:tcMar>
            <w:shd w:fill="EFF2F3"/>
          </w:tcPr>
          <w:p>
            <w:pPr>
              <w:spacing w:after="0" w:line="259" w:lineRule="auto"/>
            </w:pPr>
            <w:r>
              <w:rPr>
                <w:rFonts w:ascii="DejaVu Sans" w:hAnsi="DejaVu Sans" w:eastAsia="DejaVu Sans"/>
                <w:b w:val="0"/>
                <w:color w:val="1E2528"/>
                <w:sz w:val="16"/>
              </w:rPr>
              <w:t>Buscar defectos compartidos: fuentes comunes, anotaciones y métricas idénticas, dependencias comunes, datos incompletos, instrucciones en conflicto, sobrecarga e indisponibilidad. El acuerdo todavía puede estar equivocado de la misma manera.</w:t>
            </w:r>
          </w:p>
        </w:tc>
      </w:tr>
      <w:tr>
        <w:trPr>
          <w:cantSplit/>
        </w:trPr>
        <w:tc>
          <w:tcPr>
            <w:tcW w:type="dxa" w:w="3067"/>
            <w:vAlign w:val="center"/>
            <w:tcMar>
              <w:top w:w="90" w:type="dxa"/>
              <w:start w:w="120" w:type="dxa"/>
              <w:bottom w:w="90" w:type="dxa"/>
              <w:end w:w="120" w:type="dxa"/>
            </w:tcMar>
          </w:tcPr>
          <w:p>
            <w:pPr>
              <w:spacing w:after="0" w:line="259" w:lineRule="auto"/>
            </w:pPr>
            <w:r>
              <w:rPr>
                <w:rFonts w:ascii="DejaVu Sans" w:hAnsi="DejaVu Sans" w:eastAsia="DejaVu Sans"/>
                <w:b/>
                <w:color w:val="1E2528"/>
                <w:sz w:val="16"/>
              </w:rPr>
              <w:t>Divergencia decisiva</w:t>
            </w:r>
          </w:p>
        </w:tc>
        <w:tc>
          <w:tcPr>
            <w:tcW w:type="dxa" w:w="7157"/>
            <w:vAlign w:val="center"/>
            <w:tcMar>
              <w:top w:w="90" w:type="dxa"/>
              <w:start w:w="120" w:type="dxa"/>
              <w:bottom w:w="90" w:type="dxa"/>
              <w:end w:w="120" w:type="dxa"/>
            </w:tcMar>
          </w:tcPr>
          <w:p>
            <w:pPr>
              <w:spacing w:after="0" w:line="259" w:lineRule="auto"/>
            </w:pPr>
            <w:r>
              <w:rPr>
                <w:rFonts w:ascii="DejaVu Sans" w:hAnsi="DejaVu Sans" w:eastAsia="DejaVu Sans"/>
                <w:b w:val="0"/>
                <w:color w:val="1E2528"/>
                <w:sz w:val="16"/>
              </w:rPr>
              <w:t>Definir de antemano qué desacuerdo puede cambiar el resultado; mantener separados entradas, versiones, resultados y registros. No promediar puntuaciones o niveles de confianza para convertir el desacuerdo en autorización.</w:t>
            </w:r>
          </w:p>
        </w:tc>
      </w:tr>
      <w:tr>
        <w:trPr>
          <w:cantSplit/>
        </w:trPr>
        <w:tc>
          <w:tcPr>
            <w:tcW w:type="dxa" w:w="3067"/>
            <w:vAlign w:val="center"/>
            <w:tcMar>
              <w:top w:w="90" w:type="dxa"/>
              <w:start w:w="120" w:type="dxa"/>
              <w:bottom w:w="90" w:type="dxa"/>
              <w:end w:w="120" w:type="dxa"/>
            </w:tcMar>
            <w:shd w:fill="EFF2F3"/>
          </w:tcPr>
          <w:p>
            <w:pPr>
              <w:spacing w:after="0" w:line="259" w:lineRule="auto"/>
            </w:pPr>
            <w:r>
              <w:rPr>
                <w:rFonts w:ascii="DejaVu Sans" w:hAnsi="DejaVu Sans" w:eastAsia="DejaVu Sans"/>
                <w:b/>
                <w:color w:val="1E2528"/>
                <w:sz w:val="16"/>
              </w:rPr>
              <w:t>Interrupción predefinida</w:t>
            </w:r>
          </w:p>
        </w:tc>
        <w:tc>
          <w:tcPr>
            <w:tcW w:type="dxa" w:w="7157"/>
            <w:vAlign w:val="center"/>
            <w:tcMar>
              <w:top w:w="90" w:type="dxa"/>
              <w:start w:w="120" w:type="dxa"/>
              <w:bottom w:w="90" w:type="dxa"/>
              <w:end w:w="120" w:type="dxa"/>
            </w:tcMar>
            <w:shd w:fill="EFF2F3"/>
          </w:tcPr>
          <w:p>
            <w:pPr>
              <w:spacing w:after="0" w:line="259" w:lineRule="auto"/>
            </w:pPr>
            <w:r>
              <w:rPr>
                <w:rFonts w:ascii="DejaVu Sans" w:hAnsi="DejaVu Sans" w:eastAsia="DejaVu Sans"/>
                <w:b w:val="0"/>
                <w:color w:val="1E2528"/>
                <w:sz w:val="16"/>
              </w:rPr>
              <w:t>Si una divergencia decisiva no puede reconstruirse dentro de la ventana de control, aplicar la consecuencia escrita: restringir el Mandato, pasar al modo degradado, No delegar antes del inicio o Interrumpir el uso activo.</w:t>
            </w:r>
          </w:p>
        </w:tc>
      </w:tr>
    </w:tbl>
    <w:p>
      <w:pPr>
        <w:spacing w:after="0"/>
      </w:pPr>
    </w:p>
    <w:p>
      <w:pPr>
        <w:pStyle w:val="Heading1"/>
      </w:pPr>
      <w:r>
        <w:t>7. Registro mínimo</w:t>
      </w:r>
    </w:p>
    <w:tbl>
      <w:tblPr>
        <w:tblW w:type="dxa" w:w="10224"/>
        <w:jc w:val="left"/>
        <w:tblLayout w:type="fixed"/>
        <w:tblLook w:firstColumn="1" w:firstRow="1" w:lastColumn="0" w:lastRow="0" w:noHBand="0" w:noVBand="1" w:val="04A0"/>
        <w:tblInd w:w="120" w:type="dxa"/>
        <w:tblBorders>
          <w:top w:val="single" w:sz="5" w:space="0" w:color="C8D2D7"/>
          <w:left w:val="single" w:sz="5" w:space="0" w:color="C8D2D7"/>
          <w:bottom w:val="single" w:sz="5" w:space="0" w:color="C8D2D7"/>
          <w:right w:val="single" w:sz="5" w:space="0" w:color="C8D2D7"/>
          <w:insideH w:val="single" w:sz="5" w:space="0" w:color="C8D2D7"/>
          <w:insideV w:val="single" w:sz="5" w:space="0" w:color="C8D2D7"/>
        </w:tblBorders>
      </w:tblPr>
      <w:tblGrid>
        <w:gridCol w:w="2658"/>
        <w:gridCol w:w="7566"/>
      </w:tblGrid>
      <w:tr>
        <w:trPr>
          <w:tblHeader w:val="true"/>
          <w:cantSplit/>
        </w:trPr>
        <w:tc>
          <w:tcPr>
            <w:tcW w:type="dxa" w:w="2658"/>
            <w:vAlign w:val="center"/>
            <w:tcMar>
              <w:top w:w="65" w:type="dxa"/>
              <w:start w:w="120" w:type="dxa"/>
              <w:bottom w:w="65" w:type="dxa"/>
              <w:end w:w="120" w:type="dxa"/>
            </w:tcMar>
            <w:shd w:fill="123044"/>
          </w:tcPr>
          <w:p>
            <w:pPr>
              <w:spacing w:after="0" w:line="240" w:lineRule="auto"/>
            </w:pPr>
            <w:r>
              <w:rPr>
                <w:rFonts w:ascii="DejaVu Sans" w:hAnsi="DejaVu Sans" w:eastAsia="DejaVu Sans"/>
                <w:b/>
                <w:color w:val="FFFFFF"/>
                <w:sz w:val="15"/>
              </w:rPr>
              <w:t>Campo del registro</w:t>
            </w:r>
          </w:p>
        </w:tc>
        <w:tc>
          <w:tcPr>
            <w:tcW w:type="dxa" w:w="7566"/>
            <w:vAlign w:val="center"/>
            <w:tcMar>
              <w:top w:w="65" w:type="dxa"/>
              <w:start w:w="120" w:type="dxa"/>
              <w:bottom w:w="65" w:type="dxa"/>
              <w:end w:w="120" w:type="dxa"/>
            </w:tcMar>
            <w:shd w:fill="123044"/>
          </w:tcPr>
          <w:p>
            <w:pPr>
              <w:spacing w:after="0" w:line="240" w:lineRule="auto"/>
            </w:pPr>
            <w:r>
              <w:rPr>
                <w:rFonts w:ascii="DejaVu Sans" w:hAnsi="DejaVu Sans" w:eastAsia="DejaVu Sans"/>
                <w:b/>
                <w:color w:val="FFFFFF"/>
                <w:sz w:val="15"/>
              </w:rPr>
              <w:t>Contenido que debe conservarse</w:t>
            </w:r>
          </w:p>
        </w:tc>
      </w:tr>
      <w:tr>
        <w:trPr>
          <w:cantSplit/>
        </w:trPr>
        <w:tc>
          <w:tcPr>
            <w:tcW w:type="dxa" w:w="2658"/>
            <w:vAlign w:val="center"/>
            <w:tcMar>
              <w:top w:w="65" w:type="dxa"/>
              <w:start w:w="120" w:type="dxa"/>
              <w:bottom w:w="65" w:type="dxa"/>
              <w:end w:w="120" w:type="dxa"/>
            </w:tcMar>
          </w:tcPr>
          <w:p>
            <w:pPr>
              <w:spacing w:after="0" w:line="240" w:lineRule="auto"/>
            </w:pPr>
            <w:r>
              <w:rPr>
                <w:rFonts w:ascii="DejaVu Sans" w:hAnsi="DejaVu Sans" w:eastAsia="DejaVu Sans"/>
                <w:b/>
                <w:color w:val="1E2528"/>
                <w:sz w:val="15"/>
              </w:rPr>
              <w:t>Identificación</w:t>
            </w:r>
          </w:p>
        </w:tc>
        <w:tc>
          <w:tcPr>
            <w:tcW w:type="dxa" w:w="7566"/>
            <w:vAlign w:val="center"/>
            <w:tcMar>
              <w:top w:w="65" w:type="dxa"/>
              <w:start w:w="120" w:type="dxa"/>
              <w:bottom w:w="65" w:type="dxa"/>
              <w:end w:w="120" w:type="dxa"/>
            </w:tcMar>
          </w:tcPr>
          <w:p>
            <w:pPr>
              <w:spacing w:after="0" w:line="240" w:lineRule="auto"/>
            </w:pPr>
            <w:r>
              <w:rPr>
                <w:rFonts w:ascii="DejaVu Sans" w:hAnsi="DejaVu Sans" w:eastAsia="DejaVu Sans"/>
                <w:b w:val="0"/>
                <w:color w:val="1E2528"/>
                <w:sz w:val="15"/>
              </w:rPr>
              <w:t>Caso, fecha, titular, versión A, versión B, configuraciones y fuentes.</w:t>
            </w:r>
          </w:p>
        </w:tc>
      </w:tr>
      <w:tr>
        <w:trPr>
          <w:cantSplit/>
        </w:trPr>
        <w:tc>
          <w:tcPr>
            <w:tcW w:type="dxa" w:w="2658"/>
            <w:vAlign w:val="center"/>
            <w:tcMar>
              <w:top w:w="65" w:type="dxa"/>
              <w:start w:w="120" w:type="dxa"/>
              <w:bottom w:w="65" w:type="dxa"/>
              <w:end w:w="120" w:type="dxa"/>
            </w:tcMar>
            <w:shd w:fill="EFF2F3"/>
          </w:tcPr>
          <w:p>
            <w:pPr>
              <w:spacing w:after="0" w:line="240" w:lineRule="auto"/>
            </w:pPr>
            <w:r>
              <w:rPr>
                <w:rFonts w:ascii="DejaVu Sans" w:hAnsi="DejaVu Sans" w:eastAsia="DejaVu Sans"/>
                <w:b/>
                <w:color w:val="1E2528"/>
                <w:sz w:val="15"/>
              </w:rPr>
              <w:t>Entradas separadas</w:t>
            </w:r>
          </w:p>
        </w:tc>
        <w:tc>
          <w:tcPr>
            <w:tcW w:type="dxa" w:w="7566"/>
            <w:vAlign w:val="center"/>
            <w:tcMar>
              <w:top w:w="65" w:type="dxa"/>
              <w:start w:w="120" w:type="dxa"/>
              <w:bottom w:w="65" w:type="dxa"/>
              <w:end w:w="120" w:type="dxa"/>
            </w:tcMar>
            <w:shd w:fill="EFF2F3"/>
          </w:tcPr>
          <w:p>
            <w:pPr>
              <w:spacing w:after="0" w:line="240" w:lineRule="auto"/>
            </w:pPr>
            <w:r>
              <w:rPr>
                <w:rFonts w:ascii="DejaVu Sans" w:hAnsi="DejaVu Sans" w:eastAsia="DejaVu Sans"/>
                <w:b w:val="0"/>
                <w:color w:val="1E2528"/>
                <w:sz w:val="15"/>
              </w:rPr>
              <w:t>Datos disponibles para cada sistema, elementos excluidos y transformaciones aplicadas.</w:t>
            </w:r>
          </w:p>
        </w:tc>
      </w:tr>
      <w:tr>
        <w:trPr>
          <w:cantSplit/>
        </w:trPr>
        <w:tc>
          <w:tcPr>
            <w:tcW w:type="dxa" w:w="2658"/>
            <w:vAlign w:val="center"/>
            <w:tcMar>
              <w:top w:w="65" w:type="dxa"/>
              <w:start w:w="120" w:type="dxa"/>
              <w:bottom w:w="65" w:type="dxa"/>
              <w:end w:w="120" w:type="dxa"/>
            </w:tcMar>
          </w:tcPr>
          <w:p>
            <w:pPr>
              <w:spacing w:after="0" w:line="240" w:lineRule="auto"/>
            </w:pPr>
            <w:r>
              <w:rPr>
                <w:rFonts w:ascii="DejaVu Sans" w:hAnsi="DejaVu Sans" w:eastAsia="DejaVu Sans"/>
                <w:b/>
                <w:color w:val="1E2528"/>
                <w:sz w:val="15"/>
              </w:rPr>
              <w:t>Resultados separados</w:t>
            </w:r>
          </w:p>
        </w:tc>
        <w:tc>
          <w:tcPr>
            <w:tcW w:type="dxa" w:w="7566"/>
            <w:vAlign w:val="center"/>
            <w:tcMar>
              <w:top w:w="65" w:type="dxa"/>
              <w:start w:w="120" w:type="dxa"/>
              <w:bottom w:w="65" w:type="dxa"/>
              <w:end w:w="120" w:type="dxa"/>
            </w:tcMar>
          </w:tcPr>
          <w:p>
            <w:pPr>
              <w:spacing w:after="0" w:line="240" w:lineRule="auto"/>
            </w:pPr>
            <w:r>
              <w:rPr>
                <w:rFonts w:ascii="DejaVu Sans" w:hAnsi="DejaVu Sans" w:eastAsia="DejaVu Sans"/>
                <w:b w:val="0"/>
                <w:color w:val="1E2528"/>
                <w:sz w:val="15"/>
              </w:rPr>
              <w:t>Respuestas, fuentes citadas, incertidumbre, alternativas y pasos intermedios disponibles.</w:t>
            </w:r>
          </w:p>
        </w:tc>
      </w:tr>
      <w:tr>
        <w:trPr>
          <w:cantSplit/>
        </w:trPr>
        <w:tc>
          <w:tcPr>
            <w:tcW w:type="dxa" w:w="2658"/>
            <w:vAlign w:val="center"/>
            <w:tcMar>
              <w:top w:w="65" w:type="dxa"/>
              <w:start w:w="120" w:type="dxa"/>
              <w:bottom w:w="65" w:type="dxa"/>
              <w:end w:w="120" w:type="dxa"/>
            </w:tcMar>
            <w:shd w:fill="EFF2F3"/>
          </w:tcPr>
          <w:p>
            <w:pPr>
              <w:spacing w:after="0" w:line="240" w:lineRule="auto"/>
            </w:pPr>
            <w:r>
              <w:rPr>
                <w:rFonts w:ascii="DejaVu Sans" w:hAnsi="DejaVu Sans" w:eastAsia="DejaVu Sans"/>
                <w:b/>
                <w:color w:val="1E2528"/>
                <w:sz w:val="15"/>
              </w:rPr>
              <w:t>Acuerdo o divergencia</w:t>
            </w:r>
          </w:p>
        </w:tc>
        <w:tc>
          <w:tcPr>
            <w:tcW w:type="dxa" w:w="7566"/>
            <w:vAlign w:val="center"/>
            <w:tcMar>
              <w:top w:w="65" w:type="dxa"/>
              <w:start w:w="120" w:type="dxa"/>
              <w:bottom w:w="65" w:type="dxa"/>
              <w:end w:w="120" w:type="dxa"/>
            </w:tcMar>
            <w:shd w:fill="EFF2F3"/>
          </w:tcPr>
          <w:p>
            <w:pPr>
              <w:spacing w:after="0" w:line="240" w:lineRule="auto"/>
            </w:pPr>
            <w:r>
              <w:rPr>
                <w:rFonts w:ascii="DejaVu Sans" w:hAnsi="DejaVu Sans" w:eastAsia="DejaVu Sans"/>
                <w:b w:val="0"/>
                <w:color w:val="1E2528"/>
                <w:sz w:val="15"/>
              </w:rPr>
              <w:t>El punto sustantivo, no una diferencia de estilo; posible efecto sobre la decisión.</w:t>
            </w:r>
          </w:p>
        </w:tc>
      </w:tr>
      <w:tr>
        <w:trPr>
          <w:cantSplit/>
        </w:trPr>
        <w:tc>
          <w:tcPr>
            <w:tcW w:type="dxa" w:w="2658"/>
            <w:vAlign w:val="center"/>
            <w:tcMar>
              <w:top w:w="65" w:type="dxa"/>
              <w:start w:w="120" w:type="dxa"/>
              <w:bottom w:w="65" w:type="dxa"/>
              <w:end w:w="120" w:type="dxa"/>
            </w:tcMar>
          </w:tcPr>
          <w:p>
            <w:pPr>
              <w:spacing w:after="0" w:line="240" w:lineRule="auto"/>
            </w:pPr>
            <w:r>
              <w:rPr>
                <w:rFonts w:ascii="DejaVu Sans" w:hAnsi="DejaVu Sans" w:eastAsia="DejaVu Sans"/>
                <w:b/>
                <w:color w:val="1E2528"/>
                <w:sz w:val="15"/>
              </w:rPr>
              <w:t>Reconstrucción humana</w:t>
            </w:r>
          </w:p>
        </w:tc>
        <w:tc>
          <w:tcPr>
            <w:tcW w:type="dxa" w:w="7566"/>
            <w:vAlign w:val="center"/>
            <w:tcMar>
              <w:top w:w="65" w:type="dxa"/>
              <w:start w:w="120" w:type="dxa"/>
              <w:bottom w:w="65" w:type="dxa"/>
              <w:end w:w="120" w:type="dxa"/>
            </w:tcMar>
          </w:tcPr>
          <w:p>
            <w:pPr>
              <w:spacing w:after="0" w:line="240" w:lineRule="auto"/>
            </w:pPr>
            <w:r>
              <w:rPr>
                <w:rFonts w:ascii="DejaVu Sans" w:hAnsi="DejaVu Sans" w:eastAsia="DejaVu Sans"/>
                <w:b w:val="0"/>
                <w:color w:val="1E2528"/>
                <w:sz w:val="15"/>
              </w:rPr>
              <w:t>Hecho decisivo, regla, alternativa, tiempo necesario y competencia requerida.</w:t>
            </w:r>
          </w:p>
        </w:tc>
      </w:tr>
      <w:tr>
        <w:trPr>
          <w:cantSplit/>
        </w:trPr>
        <w:tc>
          <w:tcPr>
            <w:tcW w:type="dxa" w:w="2658"/>
            <w:vAlign w:val="center"/>
            <w:tcMar>
              <w:top w:w="65" w:type="dxa"/>
              <w:start w:w="120" w:type="dxa"/>
              <w:bottom w:w="65" w:type="dxa"/>
              <w:end w:w="120" w:type="dxa"/>
            </w:tcMar>
            <w:shd w:fill="EFF2F3"/>
          </w:tcPr>
          <w:p>
            <w:pPr>
              <w:spacing w:after="0" w:line="240" w:lineRule="auto"/>
            </w:pPr>
            <w:r>
              <w:rPr>
                <w:rFonts w:ascii="DejaVu Sans" w:hAnsi="DejaVu Sans" w:eastAsia="DejaVu Sans"/>
                <w:b/>
                <w:color w:val="1E2528"/>
                <w:sz w:val="15"/>
              </w:rPr>
              <w:t>Consecuencia</w:t>
            </w:r>
          </w:p>
        </w:tc>
        <w:tc>
          <w:tcPr>
            <w:tcW w:type="dxa" w:w="7566"/>
            <w:vAlign w:val="center"/>
            <w:tcMar>
              <w:top w:w="65" w:type="dxa"/>
              <w:start w:w="120" w:type="dxa"/>
              <w:bottom w:w="65" w:type="dxa"/>
              <w:end w:w="120" w:type="dxa"/>
            </w:tcMar>
            <w:shd w:fill="EFF2F3"/>
          </w:tcPr>
          <w:p>
            <w:pPr>
              <w:spacing w:after="0" w:line="240" w:lineRule="auto"/>
            </w:pPr>
            <w:r>
              <w:rPr>
                <w:rFonts w:ascii="DejaVu Sans" w:hAnsi="DejaVu Sans" w:eastAsia="DejaVu Sans"/>
                <w:b w:val="0"/>
                <w:color w:val="1E2528"/>
                <w:sz w:val="15"/>
              </w:rPr>
              <w:t>Continuar en modo sombra, repetir, restringir el Mandato, pasar al modo degradado, No delegar o Interrumpir.</w:t>
            </w:r>
          </w:p>
        </w:tc>
      </w:tr>
      <w:tr>
        <w:trPr>
          <w:cantSplit/>
        </w:trPr>
        <w:tc>
          <w:tcPr>
            <w:tcW w:type="dxa" w:w="2658"/>
            <w:vAlign w:val="center"/>
            <w:tcMar>
              <w:top w:w="65" w:type="dxa"/>
              <w:start w:w="120" w:type="dxa"/>
              <w:bottom w:w="65" w:type="dxa"/>
              <w:end w:w="120" w:type="dxa"/>
            </w:tcMar>
          </w:tcPr>
          <w:p>
            <w:pPr>
              <w:spacing w:after="0" w:line="240" w:lineRule="auto"/>
            </w:pPr>
            <w:r>
              <w:rPr>
                <w:rFonts w:ascii="DejaVu Sans" w:hAnsi="DejaVu Sans" w:eastAsia="DejaVu Sans"/>
                <w:b/>
                <w:color w:val="1E2528"/>
                <w:sz w:val="15"/>
              </w:rPr>
              <w:t>Costo</w:t>
            </w:r>
          </w:p>
        </w:tc>
        <w:tc>
          <w:tcPr>
            <w:tcW w:type="dxa" w:w="7566"/>
            <w:vAlign w:val="center"/>
            <w:tcMar>
              <w:top w:w="65" w:type="dxa"/>
              <w:start w:w="120" w:type="dxa"/>
              <w:bottom w:w="65" w:type="dxa"/>
              <w:end w:w="120" w:type="dxa"/>
            </w:tcMar>
          </w:tcPr>
          <w:p>
            <w:pPr>
              <w:spacing w:after="0" w:line="240" w:lineRule="auto"/>
            </w:pPr>
            <w:r>
              <w:rPr>
                <w:rFonts w:ascii="DejaVu Sans" w:hAnsi="DejaVu Sans" w:eastAsia="DejaVu Sans"/>
                <w:b w:val="0"/>
                <w:color w:val="1E2528"/>
                <w:sz w:val="15"/>
              </w:rPr>
              <w:t>Horas, demoras, capacitación, impugnaciones, dependencia, energía y trabajo de salida.</w:t>
            </w:r>
          </w:p>
        </w:tc>
      </w:tr>
    </w:tbl>
    <w:p>
      <w:pPr>
        <w:spacing w:after="0"/>
      </w:pPr>
    </w:p>
    <w:p>
      <w:r>
        <w:br w:type="page"/>
      </w:r>
    </w:p>
    <w:p>
      <w:pPr>
        <w:pStyle w:val="Heading1"/>
      </w:pPr>
      <w:r>
        <w:t>8. Reglas de decisión</w:t>
      </w:r>
    </w:p>
    <w:tbl>
      <w:tblPr>
        <w:tblW w:type="dxa" w:w="10224"/>
        <w:jc w:val="left"/>
        <w:tblLayout w:type="fixed"/>
        <w:tblLook w:firstColumn="1" w:firstRow="1" w:lastColumn="0" w:lastRow="0" w:noHBand="0" w:noVBand="1" w:val="04A0"/>
        <w:tblInd w:w="120" w:type="dxa"/>
        <w:tblBorders>
          <w:top w:val="single" w:sz="5" w:space="0" w:color="C8D2D7"/>
          <w:left w:val="single" w:sz="5" w:space="0" w:color="C8D2D7"/>
          <w:bottom w:val="single" w:sz="5" w:space="0" w:color="C8D2D7"/>
          <w:right w:val="single" w:sz="5" w:space="0" w:color="C8D2D7"/>
          <w:insideH w:val="single" w:sz="5" w:space="0" w:color="C8D2D7"/>
          <w:insideV w:val="single" w:sz="5" w:space="0" w:color="C8D2D7"/>
        </w:tblBorders>
      </w:tblPr>
      <w:tblGrid>
        <w:gridCol w:w="3476"/>
        <w:gridCol w:w="6748"/>
      </w:tblGrid>
      <w:tr>
        <w:trPr>
          <w:tblHeader w:val="true"/>
          <w:cantSplit/>
        </w:trPr>
        <w:tc>
          <w:tcPr>
            <w:tcW w:type="dxa" w:w="3476"/>
            <w:vAlign w:val="center"/>
            <w:tcMar>
              <w:top w:w="65" w:type="dxa"/>
              <w:start w:w="120" w:type="dxa"/>
              <w:bottom w:w="65" w:type="dxa"/>
              <w:end w:w="120" w:type="dxa"/>
            </w:tcMar>
            <w:shd w:fill="123044"/>
          </w:tcPr>
          <w:p>
            <w:pPr>
              <w:spacing w:after="0" w:line="240" w:lineRule="auto"/>
            </w:pPr>
            <w:r>
              <w:rPr>
                <w:rFonts w:ascii="DejaVu Sans" w:hAnsi="DejaVu Sans" w:eastAsia="DejaVu Sans"/>
                <w:b/>
                <w:color w:val="FFFFFF"/>
                <w:sz w:val="15"/>
              </w:rPr>
              <w:t>Situación</w:t>
            </w:r>
          </w:p>
        </w:tc>
        <w:tc>
          <w:tcPr>
            <w:tcW w:type="dxa" w:w="6748"/>
            <w:vAlign w:val="center"/>
            <w:tcMar>
              <w:top w:w="65" w:type="dxa"/>
              <w:start w:w="120" w:type="dxa"/>
              <w:bottom w:w="65" w:type="dxa"/>
              <w:end w:w="120" w:type="dxa"/>
            </w:tcMar>
            <w:shd w:fill="123044"/>
          </w:tcPr>
          <w:p>
            <w:pPr>
              <w:spacing w:after="0" w:line="240" w:lineRule="auto"/>
            </w:pPr>
            <w:r>
              <w:rPr>
                <w:rFonts w:ascii="DejaVu Sans" w:hAnsi="DejaVu Sans" w:eastAsia="DejaVu Sans"/>
                <w:b/>
                <w:color w:val="FFFFFF"/>
                <w:sz w:val="15"/>
              </w:rPr>
              <w:t>Consecuencia mínima</w:t>
            </w:r>
          </w:p>
        </w:tc>
      </w:tr>
      <w:tr>
        <w:trPr>
          <w:cantSplit/>
        </w:trPr>
        <w:tc>
          <w:tcPr>
            <w:tcW w:type="dxa" w:w="3476"/>
            <w:vAlign w:val="center"/>
            <w:tcMar>
              <w:top w:w="65" w:type="dxa"/>
              <w:start w:w="120" w:type="dxa"/>
              <w:bottom w:w="65" w:type="dxa"/>
              <w:end w:w="120" w:type="dxa"/>
            </w:tcMar>
          </w:tcPr>
          <w:p>
            <w:pPr>
              <w:spacing w:after="0" w:line="240" w:lineRule="auto"/>
            </w:pPr>
            <w:r>
              <w:rPr>
                <w:rFonts w:ascii="DejaVu Sans" w:hAnsi="DejaVu Sans" w:eastAsia="DejaVu Sans"/>
                <w:b/>
                <w:color w:val="1E2528"/>
                <w:sz w:val="15"/>
              </w:rPr>
              <w:t>A y B coinciden, pero comparten una dependencia no verificada</w:t>
            </w:r>
          </w:p>
        </w:tc>
        <w:tc>
          <w:tcPr>
            <w:tcW w:type="dxa" w:w="6748"/>
            <w:vAlign w:val="center"/>
            <w:tcMar>
              <w:top w:w="65" w:type="dxa"/>
              <w:start w:w="120" w:type="dxa"/>
              <w:bottom w:w="65" w:type="dxa"/>
              <w:end w:w="120" w:type="dxa"/>
            </w:tcMar>
          </w:tcPr>
          <w:p>
            <w:pPr>
              <w:spacing w:after="0" w:line="240" w:lineRule="auto"/>
            </w:pPr>
            <w:r>
              <w:rPr>
                <w:rFonts w:ascii="DejaVu Sans" w:hAnsi="DejaVu Sans" w:eastAsia="DejaVu Sans"/>
                <w:b w:val="0"/>
                <w:color w:val="1E2528"/>
                <w:sz w:val="15"/>
              </w:rPr>
              <w:t>La evidencia queda Sin resolver; no ampliar el Mandato.</w:t>
            </w:r>
          </w:p>
        </w:tc>
      </w:tr>
      <w:tr>
        <w:trPr>
          <w:cantSplit/>
        </w:trPr>
        <w:tc>
          <w:tcPr>
            <w:tcW w:type="dxa" w:w="3476"/>
            <w:vAlign w:val="center"/>
            <w:tcMar>
              <w:top w:w="65" w:type="dxa"/>
              <w:start w:w="120" w:type="dxa"/>
              <w:bottom w:w="65" w:type="dxa"/>
              <w:end w:w="120" w:type="dxa"/>
            </w:tcMar>
            <w:shd w:fill="EFF2F3"/>
          </w:tcPr>
          <w:p>
            <w:pPr>
              <w:spacing w:after="0" w:line="240" w:lineRule="auto"/>
            </w:pPr>
            <w:r>
              <w:rPr>
                <w:rFonts w:ascii="DejaVu Sans" w:hAnsi="DejaVu Sans" w:eastAsia="DejaVu Sans"/>
                <w:b/>
                <w:color w:val="1E2528"/>
                <w:sz w:val="15"/>
              </w:rPr>
              <w:t>A y B divergen en un punto no decisivo y el motivo puede reconstruirse</w:t>
            </w:r>
          </w:p>
        </w:tc>
        <w:tc>
          <w:tcPr>
            <w:tcW w:type="dxa" w:w="6748"/>
            <w:vAlign w:val="center"/>
            <w:tcMar>
              <w:top w:w="65" w:type="dxa"/>
              <w:start w:w="120" w:type="dxa"/>
              <w:bottom w:w="65" w:type="dxa"/>
              <w:end w:w="120" w:type="dxa"/>
            </w:tcMar>
            <w:shd w:fill="EFF2F3"/>
          </w:tcPr>
          <w:p>
            <w:pPr>
              <w:spacing w:after="0" w:line="240" w:lineRule="auto"/>
            </w:pPr>
            <w:r>
              <w:rPr>
                <w:rFonts w:ascii="DejaVu Sans" w:hAnsi="DejaVu Sans" w:eastAsia="DejaVu Sans"/>
                <w:b w:val="0"/>
                <w:color w:val="1E2528"/>
                <w:sz w:val="15"/>
              </w:rPr>
              <w:t>Registrarlo; mantener el alcance; revisar la biblioteca de casos.</w:t>
            </w:r>
          </w:p>
        </w:tc>
      </w:tr>
      <w:tr>
        <w:trPr>
          <w:cantSplit/>
        </w:trPr>
        <w:tc>
          <w:tcPr>
            <w:tcW w:type="dxa" w:w="3476"/>
            <w:vAlign w:val="center"/>
            <w:tcMar>
              <w:top w:w="65" w:type="dxa"/>
              <w:start w:w="120" w:type="dxa"/>
              <w:bottom w:w="65" w:type="dxa"/>
              <w:end w:w="120" w:type="dxa"/>
            </w:tcMar>
          </w:tcPr>
          <w:p>
            <w:pPr>
              <w:spacing w:after="0" w:line="240" w:lineRule="auto"/>
            </w:pPr>
            <w:r>
              <w:rPr>
                <w:rFonts w:ascii="DejaVu Sans" w:hAnsi="DejaVu Sans" w:eastAsia="DejaVu Sans"/>
                <w:b/>
                <w:color w:val="1E2528"/>
                <w:sz w:val="15"/>
              </w:rPr>
              <w:t>Una divergencia decisiva puede reconstruirse dentro de la ventana de control</w:t>
            </w:r>
          </w:p>
        </w:tc>
        <w:tc>
          <w:tcPr>
            <w:tcW w:type="dxa" w:w="6748"/>
            <w:vAlign w:val="center"/>
            <w:tcMar>
              <w:top w:w="65" w:type="dxa"/>
              <w:start w:w="120" w:type="dxa"/>
              <w:bottom w:w="65" w:type="dxa"/>
              <w:end w:w="120" w:type="dxa"/>
            </w:tcMar>
          </w:tcPr>
          <w:p>
            <w:pPr>
              <w:spacing w:after="0" w:line="240" w:lineRule="auto"/>
            </w:pPr>
            <w:r>
              <w:rPr>
                <w:rFonts w:ascii="DejaVu Sans" w:hAnsi="DejaVu Sans" w:eastAsia="DejaVu Sans"/>
                <w:b w:val="0"/>
                <w:color w:val="1E2528"/>
                <w:sz w:val="15"/>
              </w:rPr>
              <w:t>Remitirla a la persona revisora competente; el efecto permanece suspendido hasta cerrar el caso.</w:t>
            </w:r>
          </w:p>
        </w:tc>
      </w:tr>
      <w:tr>
        <w:trPr>
          <w:cantSplit/>
        </w:trPr>
        <w:tc>
          <w:tcPr>
            <w:tcW w:type="dxa" w:w="3476"/>
            <w:vAlign w:val="center"/>
            <w:tcMar>
              <w:top w:w="65" w:type="dxa"/>
              <w:start w:w="120" w:type="dxa"/>
              <w:bottom w:w="65" w:type="dxa"/>
              <w:end w:w="120" w:type="dxa"/>
            </w:tcMar>
            <w:shd w:fill="EFF2F3"/>
          </w:tcPr>
          <w:p>
            <w:pPr>
              <w:spacing w:after="0" w:line="240" w:lineRule="auto"/>
            </w:pPr>
            <w:r>
              <w:rPr>
                <w:rFonts w:ascii="DejaVu Sans" w:hAnsi="DejaVu Sans" w:eastAsia="DejaVu Sans"/>
                <w:b/>
                <w:color w:val="1E2528"/>
                <w:sz w:val="15"/>
              </w:rPr>
              <w:t>Una divergencia decisiva no puede reconstruirse a tiempo</w:t>
            </w:r>
          </w:p>
        </w:tc>
        <w:tc>
          <w:tcPr>
            <w:tcW w:type="dxa" w:w="6748"/>
            <w:vAlign w:val="center"/>
            <w:tcMar>
              <w:top w:w="65" w:type="dxa"/>
              <w:start w:w="120" w:type="dxa"/>
              <w:bottom w:w="65" w:type="dxa"/>
              <w:end w:w="120" w:type="dxa"/>
            </w:tcMar>
            <w:shd w:fill="EFF2F3"/>
          </w:tcPr>
          <w:p>
            <w:pPr>
              <w:spacing w:after="0" w:line="240" w:lineRule="auto"/>
            </w:pPr>
            <w:r>
              <w:rPr>
                <w:rFonts w:ascii="DejaVu Sans" w:hAnsi="DejaVu Sans" w:eastAsia="DejaVu Sans"/>
                <w:b w:val="0"/>
                <w:color w:val="1E2528"/>
                <w:sz w:val="15"/>
              </w:rPr>
              <w:t>Restringir el Mandato o pasar al modo degradado; si el poder ya está activo, Interrumpir.</w:t>
            </w:r>
          </w:p>
        </w:tc>
      </w:tr>
      <w:tr>
        <w:trPr>
          <w:cantSplit/>
        </w:trPr>
        <w:tc>
          <w:tcPr>
            <w:tcW w:type="dxa" w:w="3476"/>
            <w:vAlign w:val="center"/>
            <w:tcMar>
              <w:top w:w="65" w:type="dxa"/>
              <w:start w:w="120" w:type="dxa"/>
              <w:bottom w:w="65" w:type="dxa"/>
              <w:end w:w="120" w:type="dxa"/>
            </w:tcMar>
          </w:tcPr>
          <w:p>
            <w:pPr>
              <w:spacing w:after="0" w:line="240" w:lineRule="auto"/>
            </w:pPr>
            <w:r>
              <w:rPr>
                <w:rFonts w:ascii="DejaVu Sans" w:hAnsi="DejaVu Sans" w:eastAsia="DejaVu Sans"/>
                <w:b/>
                <w:color w:val="1E2528"/>
                <w:sz w:val="15"/>
              </w:rPr>
              <w:t>Ambos sistemas fallan en el mismo caso</w:t>
            </w:r>
          </w:p>
        </w:tc>
        <w:tc>
          <w:tcPr>
            <w:tcW w:type="dxa" w:w="6748"/>
            <w:vAlign w:val="center"/>
            <w:tcMar>
              <w:top w:w="65" w:type="dxa"/>
              <w:start w:w="120" w:type="dxa"/>
              <w:bottom w:w="65" w:type="dxa"/>
              <w:end w:w="120" w:type="dxa"/>
            </w:tcMar>
          </w:tcPr>
          <w:p>
            <w:pPr>
              <w:spacing w:after="0" w:line="240" w:lineRule="auto"/>
            </w:pPr>
            <w:r>
              <w:rPr>
                <w:rFonts w:ascii="DejaVu Sans" w:hAnsi="DejaVu Sans" w:eastAsia="DejaVu Sans"/>
                <w:b w:val="0"/>
                <w:color w:val="1E2528"/>
                <w:sz w:val="15"/>
              </w:rPr>
              <w:t>Tratar el acuerdo como error correlacionado; corregir fuentes, datos, objetivos o proceso antes de repetir.</w:t>
            </w:r>
          </w:p>
        </w:tc>
      </w:tr>
      <w:tr>
        <w:trPr>
          <w:cantSplit/>
        </w:trPr>
        <w:tc>
          <w:tcPr>
            <w:tcW w:type="dxa" w:w="3476"/>
            <w:vAlign w:val="center"/>
            <w:tcMar>
              <w:top w:w="65" w:type="dxa"/>
              <w:start w:w="120" w:type="dxa"/>
              <w:bottom w:w="65" w:type="dxa"/>
              <w:end w:w="120" w:type="dxa"/>
            </w:tcMar>
            <w:shd w:fill="EFF2F3"/>
          </w:tcPr>
          <w:p>
            <w:pPr>
              <w:spacing w:after="0" w:line="240" w:lineRule="auto"/>
            </w:pPr>
            <w:r>
              <w:rPr>
                <w:rFonts w:ascii="DejaVu Sans" w:hAnsi="DejaVu Sans" w:eastAsia="DejaVu Sans"/>
                <w:b/>
                <w:color w:val="1E2528"/>
                <w:sz w:val="15"/>
              </w:rPr>
              <w:t>La carga vuelve nominal la supervisión</w:t>
            </w:r>
          </w:p>
        </w:tc>
        <w:tc>
          <w:tcPr>
            <w:tcW w:type="dxa" w:w="6748"/>
            <w:vAlign w:val="center"/>
            <w:tcMar>
              <w:top w:w="65" w:type="dxa"/>
              <w:start w:w="120" w:type="dxa"/>
              <w:bottom w:w="65" w:type="dxa"/>
              <w:end w:w="120" w:type="dxa"/>
            </w:tcMar>
            <w:shd w:fill="EFF2F3"/>
          </w:tcPr>
          <w:p>
            <w:pPr>
              <w:spacing w:after="0" w:line="240" w:lineRule="auto"/>
            </w:pPr>
            <w:r>
              <w:rPr>
                <w:rFonts w:ascii="DejaVu Sans" w:hAnsi="DejaVu Sans" w:eastAsia="DejaVu Sans"/>
                <w:b w:val="0"/>
                <w:color w:val="1E2528"/>
                <w:sz w:val="15"/>
              </w:rPr>
              <w:t>Reducir el volumen o la modalidad; financiar capacidad humana; no añadir una firma ornamental.</w:t>
            </w:r>
          </w:p>
        </w:tc>
      </w:tr>
      <w:tr>
        <w:trPr>
          <w:cantSplit/>
        </w:trPr>
        <w:tc>
          <w:tcPr>
            <w:tcW w:type="dxa" w:w="3476"/>
            <w:vAlign w:val="center"/>
            <w:tcMar>
              <w:top w:w="65" w:type="dxa"/>
              <w:start w:w="120" w:type="dxa"/>
              <w:bottom w:w="65" w:type="dxa"/>
              <w:end w:w="120" w:type="dxa"/>
            </w:tcMar>
          </w:tcPr>
          <w:p>
            <w:pPr>
              <w:spacing w:after="0" w:line="240" w:lineRule="auto"/>
            </w:pPr>
            <w:r>
              <w:rPr>
                <w:rFonts w:ascii="DejaVu Sans" w:hAnsi="DejaVu Sans" w:eastAsia="DejaVu Sans"/>
                <w:b/>
                <w:color w:val="1E2528"/>
                <w:sz w:val="15"/>
              </w:rPr>
              <w:t>La salida no permite reconstruir el servicio</w:t>
            </w:r>
          </w:p>
        </w:tc>
        <w:tc>
          <w:tcPr>
            <w:tcW w:type="dxa" w:w="6748"/>
            <w:vAlign w:val="center"/>
            <w:tcMar>
              <w:top w:w="65" w:type="dxa"/>
              <w:start w:w="120" w:type="dxa"/>
              <w:bottom w:w="65" w:type="dxa"/>
              <w:end w:w="120" w:type="dxa"/>
            </w:tcMar>
          </w:tcPr>
          <w:p>
            <w:pPr>
              <w:spacing w:after="0" w:line="240" w:lineRule="auto"/>
            </w:pPr>
            <w:r>
              <w:rPr>
                <w:rFonts w:ascii="DejaVu Sans" w:hAnsi="DejaVu Sans" w:eastAsia="DejaVu Sans"/>
                <w:b w:val="0"/>
                <w:color w:val="1E2528"/>
                <w:sz w:val="15"/>
              </w:rPr>
              <w:t>Condición Bloqueante: No delegar antes del inicio o Interrumpir el uso activo.</w:t>
            </w:r>
          </w:p>
        </w:tc>
      </w:tr>
    </w:tbl>
    <w:p>
      <w:pPr>
        <w:spacing w:after="0"/>
      </w:pPr>
    </w:p>
    <w:p>
      <w:pPr>
        <w:pStyle w:val="Heading1"/>
      </w:pPr>
      <w:r>
        <w:t>9. Registro de cierre</w:t>
      </w:r>
    </w:p>
    <w:tbl>
      <w:tblPr>
        <w:tblW w:type="dxa" w:w="10224"/>
        <w:jc w:val="left"/>
        <w:tblLayout w:type="fixed"/>
        <w:tblLook w:firstColumn="1" w:firstRow="1" w:lastColumn="0" w:lastRow="0" w:noHBand="0" w:noVBand="1" w:val="04A0"/>
        <w:tblInd w:w="150" w:type="dxa"/>
        <w:tblBorders>
          <w:top w:val="single" w:sz="7" w:space="0" w:color="B54B2A"/>
          <w:left w:val="single" w:sz="7" w:space="0" w:color="B54B2A"/>
          <w:bottom w:val="single" w:sz="7" w:space="0" w:color="B54B2A"/>
          <w:right w:val="single" w:sz="7" w:space="0" w:color="B54B2A"/>
          <w:insideH w:val="single" w:sz="7" w:space="0" w:color="B54B2A"/>
          <w:insideV w:val="single" w:sz="7" w:space="0" w:color="B54B2A"/>
        </w:tblBorders>
      </w:tblPr>
      <w:tblGrid>
        <w:gridCol w:w="10224"/>
      </w:tblGrid>
      <w:tr>
        <w:trPr>
          <w:cantSplit/>
          <w:tblHeader/>
        </w:trPr>
        <w:tc>
          <w:tcPr>
            <w:tcW w:type="dxa" w:w="10224"/>
            <w:shd w:fill="F7E7E0"/>
            <w:tcMar>
              <w:top w:w="120" w:type="dxa"/>
              <w:start w:w="150" w:type="dxa"/>
              <w:bottom w:w="120" w:type="dxa"/>
              <w:end w:w="150" w:type="dxa"/>
            </w:tcMar>
          </w:tcPr>
          <w:p>
            <w:pPr>
              <w:spacing w:after="40"/>
            </w:pPr>
            <w:r>
              <w:rPr>
                <w:rFonts w:ascii="DejaVu Sans" w:hAnsi="DejaVu Sans" w:eastAsia="DejaVu Sans"/>
                <w:b/>
                <w:color w:val="B54B2A"/>
                <w:sz w:val="17"/>
              </w:rPr>
              <w:t xml:space="preserve">RESULTADO  </w:t>
            </w:r>
            <w:r>
              <w:rPr>
                <w:rFonts w:ascii="DejaVu Sans" w:hAnsi="DejaVu Sans" w:eastAsia="DejaVu Sans"/>
                <w:color w:val="1E2528"/>
                <w:sz w:val="18"/>
              </w:rPr>
              <w:t>El registro conserva la versión, el alcance probado, los casos fallidos, las divergencias, las horas de supervisión, los costos, las condiciones sin resolver, la decisión organizativa, la persona responsable, la condición de interrupción y la fecha de revisión. Un buen resultado no autoriza tareas, datos o volúmenes que no se hayan probado.</w:t>
            </w:r>
          </w:p>
        </w:tc>
      </w:tr>
    </w:tbl>
    <w:p>
      <w:pPr>
        <w:spacing w:after="0"/>
      </w:pPr>
    </w:p>
    <w:p>
      <w:pPr>
        <w:pStyle w:val="Heading2"/>
      </w:pPr>
      <w:r>
        <w:t>Lista de control para el cierre</w:t>
      </w:r>
    </w:p>
    <w:tbl>
      <w:tblPr>
        <w:tblW w:type="dxa" w:w="10224"/>
        <w:jc w:val="left"/>
        <w:tblLayout w:type="fixed"/>
        <w:tblLook w:firstColumn="1" w:firstRow="1" w:lastColumn="0" w:lastRow="0" w:noHBand="0" w:noVBand="1" w:val="04A0"/>
        <w:tblInd w:w="120" w:type="dxa"/>
        <w:tblBorders>
          <w:top w:val="single" w:sz="5" w:space="0" w:color="C8D2D7"/>
          <w:left w:val="single" w:sz="5" w:space="0" w:color="C8D2D7"/>
          <w:bottom w:val="single" w:sz="5" w:space="0" w:color="C8D2D7"/>
          <w:right w:val="single" w:sz="5" w:space="0" w:color="C8D2D7"/>
          <w:insideH w:val="single" w:sz="5" w:space="0" w:color="C8D2D7"/>
          <w:insideV w:val="single" w:sz="5" w:space="0" w:color="C8D2D7"/>
        </w:tblBorders>
      </w:tblPr>
      <w:tblGrid>
        <w:gridCol w:w="4601"/>
        <w:gridCol w:w="5623"/>
      </w:tblGrid>
      <w:tr>
        <w:trPr>
          <w:tblHeader w:val="true"/>
          <w:cantSplit/>
        </w:trPr>
        <w:tc>
          <w:tcPr>
            <w:tcW w:type="dxa" w:w="4601"/>
            <w:vAlign w:val="center"/>
            <w:tcMar>
              <w:top w:w="65" w:type="dxa"/>
              <w:start w:w="120" w:type="dxa"/>
              <w:bottom w:w="65" w:type="dxa"/>
              <w:end w:w="120" w:type="dxa"/>
            </w:tcMar>
            <w:shd w:fill="123044"/>
          </w:tcPr>
          <w:p>
            <w:pPr>
              <w:spacing w:after="0" w:line="240" w:lineRule="auto"/>
            </w:pPr>
            <w:r>
              <w:rPr>
                <w:rFonts w:ascii="DejaVu Sans" w:hAnsi="DejaVu Sans" w:eastAsia="DejaVu Sans"/>
                <w:b/>
                <w:color w:val="FFFFFF"/>
                <w:sz w:val="14"/>
              </w:rPr>
              <w:t>Control</w:t>
            </w:r>
          </w:p>
        </w:tc>
        <w:tc>
          <w:tcPr>
            <w:tcW w:type="dxa" w:w="5623"/>
            <w:vAlign w:val="center"/>
            <w:tcMar>
              <w:top w:w="65" w:type="dxa"/>
              <w:start w:w="120" w:type="dxa"/>
              <w:bottom w:w="65" w:type="dxa"/>
              <w:end w:w="120" w:type="dxa"/>
            </w:tcMar>
            <w:shd w:fill="123044"/>
          </w:tcPr>
          <w:p>
            <w:pPr>
              <w:spacing w:after="0" w:line="240" w:lineRule="auto"/>
            </w:pPr>
            <w:r>
              <w:rPr>
                <w:rFonts w:ascii="DejaVu Sans" w:hAnsi="DejaVu Sans" w:eastAsia="DejaVu Sans"/>
                <w:b/>
                <w:color w:val="FFFFFF"/>
                <w:sz w:val="14"/>
              </w:rPr>
              <w:t>Resultado y referencia</w:t>
            </w:r>
          </w:p>
        </w:tc>
      </w:tr>
      <w:tr>
        <w:trPr>
          <w:cantSplit/>
          <w:trHeight w:val="360" w:hRule="atLeast"/>
        </w:trPr>
        <w:tc>
          <w:tcPr>
            <w:tcW w:type="dxa" w:w="4601"/>
            <w:vAlign w:val="center"/>
            <w:tcMar>
              <w:top w:w="65" w:type="dxa"/>
              <w:start w:w="120" w:type="dxa"/>
              <w:bottom w:w="65" w:type="dxa"/>
              <w:end w:w="120" w:type="dxa"/>
            </w:tcMar>
          </w:tcPr>
          <w:p>
            <w:pPr>
              <w:spacing w:after="0" w:line="240" w:lineRule="auto"/>
            </w:pPr>
            <w:r>
              <w:rPr>
                <w:rFonts w:ascii="DejaVu Sans" w:hAnsi="DejaVu Sans" w:eastAsia="DejaVu Sans"/>
                <w:b/>
                <w:color w:val="1E2528"/>
                <w:sz w:val="14"/>
              </w:rPr>
              <w:t>[ ] Versiones A y B identificadas</w:t>
            </w:r>
          </w:p>
        </w:tc>
        <w:tc>
          <w:tcPr>
            <w:tcW w:type="dxa" w:w="5623"/>
            <w:vAlign w:val="center"/>
            <w:tcMar>
              <w:top w:w="65" w:type="dxa"/>
              <w:start w:w="120" w:type="dxa"/>
              <w:bottom w:w="65" w:type="dxa"/>
              <w:end w:w="120" w:type="dxa"/>
            </w:tcMar>
          </w:tcPr>
          <w:p>
            <w:pPr>
              <w:spacing w:after="0" w:line="240" w:lineRule="auto"/>
            </w:pPr>
            <w:r>
              <w:rPr>
                <w:rFonts w:ascii="DejaVu Sans" w:hAnsi="DejaVu Sans" w:eastAsia="DejaVu Sans"/>
                <w:b w:val="0"/>
                <w:color w:val="1E2528"/>
                <w:sz w:val="14"/>
              </w:rPr>
            </w:r>
          </w:p>
        </w:tc>
      </w:tr>
      <w:tr>
        <w:trPr>
          <w:cantSplit/>
          <w:trHeight w:val="360" w:hRule="atLeast"/>
        </w:trPr>
        <w:tc>
          <w:tcPr>
            <w:tcW w:type="dxa" w:w="4601"/>
            <w:vAlign w:val="center"/>
            <w:tcMar>
              <w:top w:w="65" w:type="dxa"/>
              <w:start w:w="120" w:type="dxa"/>
              <w:bottom w:w="65" w:type="dxa"/>
              <w:end w:w="120" w:type="dxa"/>
            </w:tcMar>
            <w:shd w:fill="EFF2F3"/>
          </w:tcPr>
          <w:p>
            <w:pPr>
              <w:spacing w:after="0" w:line="240" w:lineRule="auto"/>
            </w:pPr>
            <w:r>
              <w:rPr>
                <w:rFonts w:ascii="DejaVu Sans" w:hAnsi="DejaVu Sans" w:eastAsia="DejaVu Sans"/>
                <w:b/>
                <w:color w:val="1E2528"/>
                <w:sz w:val="14"/>
              </w:rPr>
              <w:t>[ ] Dependencias comunes documentadas</w:t>
            </w:r>
          </w:p>
        </w:tc>
        <w:tc>
          <w:tcPr>
            <w:tcW w:type="dxa" w:w="5623"/>
            <w:vAlign w:val="center"/>
            <w:tcMar>
              <w:top w:w="65" w:type="dxa"/>
              <w:start w:w="120" w:type="dxa"/>
              <w:bottom w:w="65" w:type="dxa"/>
              <w:end w:w="120" w:type="dxa"/>
            </w:tcMar>
            <w:shd w:fill="EFF2F3"/>
          </w:tcPr>
          <w:p>
            <w:pPr>
              <w:spacing w:after="0" w:line="240" w:lineRule="auto"/>
            </w:pPr>
            <w:r>
              <w:rPr>
                <w:rFonts w:ascii="DejaVu Sans" w:hAnsi="DejaVu Sans" w:eastAsia="DejaVu Sans"/>
                <w:b w:val="0"/>
                <w:color w:val="1E2528"/>
                <w:sz w:val="14"/>
              </w:rPr>
            </w:r>
          </w:p>
        </w:tc>
      </w:tr>
      <w:tr>
        <w:trPr>
          <w:cantSplit/>
          <w:trHeight w:val="360" w:hRule="atLeast"/>
        </w:trPr>
        <w:tc>
          <w:tcPr>
            <w:tcW w:type="dxa" w:w="4601"/>
            <w:vAlign w:val="center"/>
            <w:tcMar>
              <w:top w:w="65" w:type="dxa"/>
              <w:start w:w="120" w:type="dxa"/>
              <w:bottom w:w="65" w:type="dxa"/>
              <w:end w:w="120" w:type="dxa"/>
            </w:tcMar>
          </w:tcPr>
          <w:p>
            <w:pPr>
              <w:spacing w:after="0" w:line="240" w:lineRule="auto"/>
            </w:pPr>
            <w:r>
              <w:rPr>
                <w:rFonts w:ascii="DejaVu Sans" w:hAnsi="DejaVu Sans" w:eastAsia="DejaVu Sans"/>
                <w:b/>
                <w:color w:val="1E2528"/>
                <w:sz w:val="14"/>
              </w:rPr>
              <w:t>[ ] Divergencias decisivas reconstruidas</w:t>
            </w:r>
          </w:p>
        </w:tc>
        <w:tc>
          <w:tcPr>
            <w:tcW w:type="dxa" w:w="5623"/>
            <w:vAlign w:val="center"/>
            <w:tcMar>
              <w:top w:w="65" w:type="dxa"/>
              <w:start w:w="120" w:type="dxa"/>
              <w:bottom w:w="65" w:type="dxa"/>
              <w:end w:w="120" w:type="dxa"/>
            </w:tcMar>
          </w:tcPr>
          <w:p>
            <w:pPr>
              <w:spacing w:after="0" w:line="240" w:lineRule="auto"/>
            </w:pPr>
            <w:r>
              <w:rPr>
                <w:rFonts w:ascii="DejaVu Sans" w:hAnsi="DejaVu Sans" w:eastAsia="DejaVu Sans"/>
                <w:b w:val="0"/>
                <w:color w:val="1E2528"/>
                <w:sz w:val="14"/>
              </w:rPr>
            </w:r>
          </w:p>
        </w:tc>
      </w:tr>
      <w:tr>
        <w:trPr>
          <w:cantSplit/>
          <w:trHeight w:val="360" w:hRule="atLeast"/>
        </w:trPr>
        <w:tc>
          <w:tcPr>
            <w:tcW w:type="dxa" w:w="4601"/>
            <w:vAlign w:val="center"/>
            <w:tcMar>
              <w:top w:w="65" w:type="dxa"/>
              <w:start w:w="120" w:type="dxa"/>
              <w:bottom w:w="65" w:type="dxa"/>
              <w:end w:w="120" w:type="dxa"/>
            </w:tcMar>
            <w:shd w:fill="EFF2F3"/>
          </w:tcPr>
          <w:p>
            <w:pPr>
              <w:spacing w:after="0" w:line="240" w:lineRule="auto"/>
            </w:pPr>
            <w:r>
              <w:rPr>
                <w:rFonts w:ascii="DejaVu Sans" w:hAnsi="DejaVu Sans" w:eastAsia="DejaVu Sans"/>
                <w:b/>
                <w:color w:val="1E2528"/>
                <w:sz w:val="14"/>
              </w:rPr>
              <w:t>[ ] Carga real y ventana de control probadas</w:t>
            </w:r>
          </w:p>
        </w:tc>
        <w:tc>
          <w:tcPr>
            <w:tcW w:type="dxa" w:w="5623"/>
            <w:vAlign w:val="center"/>
            <w:tcMar>
              <w:top w:w="65" w:type="dxa"/>
              <w:start w:w="120" w:type="dxa"/>
              <w:bottom w:w="65" w:type="dxa"/>
              <w:end w:w="120" w:type="dxa"/>
            </w:tcMar>
            <w:shd w:fill="EFF2F3"/>
          </w:tcPr>
          <w:p>
            <w:pPr>
              <w:spacing w:after="0" w:line="240" w:lineRule="auto"/>
            </w:pPr>
            <w:r>
              <w:rPr>
                <w:rFonts w:ascii="DejaVu Sans" w:hAnsi="DejaVu Sans" w:eastAsia="DejaVu Sans"/>
                <w:b w:val="0"/>
                <w:color w:val="1E2528"/>
                <w:sz w:val="14"/>
              </w:rPr>
            </w:r>
          </w:p>
        </w:tc>
      </w:tr>
      <w:tr>
        <w:trPr>
          <w:cantSplit/>
          <w:trHeight w:val="360" w:hRule="atLeast"/>
        </w:trPr>
        <w:tc>
          <w:tcPr>
            <w:tcW w:type="dxa" w:w="4601"/>
            <w:vAlign w:val="center"/>
            <w:tcMar>
              <w:top w:w="65" w:type="dxa"/>
              <w:start w:w="120" w:type="dxa"/>
              <w:bottom w:w="65" w:type="dxa"/>
              <w:end w:w="120" w:type="dxa"/>
            </w:tcMar>
          </w:tcPr>
          <w:p>
            <w:pPr>
              <w:spacing w:after="0" w:line="240" w:lineRule="auto"/>
            </w:pPr>
            <w:r>
              <w:rPr>
                <w:rFonts w:ascii="DejaVu Sans" w:hAnsi="DejaVu Sans" w:eastAsia="DejaVu Sans"/>
                <w:b/>
                <w:color w:val="1E2528"/>
                <w:sz w:val="14"/>
              </w:rPr>
              <w:t>[ ] Recurso y autoridad para detener localizables</w:t>
            </w:r>
          </w:p>
        </w:tc>
        <w:tc>
          <w:tcPr>
            <w:tcW w:type="dxa" w:w="5623"/>
            <w:vAlign w:val="center"/>
            <w:tcMar>
              <w:top w:w="65" w:type="dxa"/>
              <w:start w:w="120" w:type="dxa"/>
              <w:bottom w:w="65" w:type="dxa"/>
              <w:end w:w="120" w:type="dxa"/>
            </w:tcMar>
          </w:tcPr>
          <w:p>
            <w:pPr>
              <w:spacing w:after="0" w:line="240" w:lineRule="auto"/>
            </w:pPr>
            <w:r>
              <w:rPr>
                <w:rFonts w:ascii="DejaVu Sans" w:hAnsi="DejaVu Sans" w:eastAsia="DejaVu Sans"/>
                <w:b w:val="0"/>
                <w:color w:val="1E2528"/>
                <w:sz w:val="14"/>
              </w:rPr>
            </w:r>
          </w:p>
        </w:tc>
      </w:tr>
      <w:tr>
        <w:trPr>
          <w:cantSplit/>
          <w:trHeight w:val="360" w:hRule="atLeast"/>
        </w:trPr>
        <w:tc>
          <w:tcPr>
            <w:tcW w:type="dxa" w:w="4601"/>
            <w:vAlign w:val="center"/>
            <w:tcMar>
              <w:top w:w="65" w:type="dxa"/>
              <w:start w:w="120" w:type="dxa"/>
              <w:bottom w:w="65" w:type="dxa"/>
              <w:end w:w="120" w:type="dxa"/>
            </w:tcMar>
            <w:shd w:fill="EFF2F3"/>
          </w:tcPr>
          <w:p>
            <w:pPr>
              <w:spacing w:after="0" w:line="240" w:lineRule="auto"/>
            </w:pPr>
            <w:r>
              <w:rPr>
                <w:rFonts w:ascii="DejaVu Sans" w:hAnsi="DejaVu Sans" w:eastAsia="DejaVu Sans"/>
                <w:b/>
                <w:color w:val="1E2528"/>
                <w:sz w:val="14"/>
              </w:rPr>
              <w:t>[ ] Modo degradado y salida probados</w:t>
            </w:r>
          </w:p>
        </w:tc>
        <w:tc>
          <w:tcPr>
            <w:tcW w:type="dxa" w:w="5623"/>
            <w:vAlign w:val="center"/>
            <w:tcMar>
              <w:top w:w="65" w:type="dxa"/>
              <w:start w:w="120" w:type="dxa"/>
              <w:bottom w:w="65" w:type="dxa"/>
              <w:end w:w="120" w:type="dxa"/>
            </w:tcMar>
            <w:shd w:fill="EFF2F3"/>
          </w:tcPr>
          <w:p>
            <w:pPr>
              <w:spacing w:after="0" w:line="240" w:lineRule="auto"/>
            </w:pPr>
            <w:r>
              <w:rPr>
                <w:rFonts w:ascii="DejaVu Sans" w:hAnsi="DejaVu Sans" w:eastAsia="DejaVu Sans"/>
                <w:b w:val="0"/>
                <w:color w:val="1E2528"/>
                <w:sz w:val="14"/>
              </w:rPr>
            </w:r>
          </w:p>
        </w:tc>
      </w:tr>
      <w:tr>
        <w:trPr>
          <w:cantSplit/>
          <w:trHeight w:val="360" w:hRule="atLeast"/>
        </w:trPr>
        <w:tc>
          <w:tcPr>
            <w:tcW w:type="dxa" w:w="4601"/>
            <w:vAlign w:val="center"/>
            <w:tcMar>
              <w:top w:w="65" w:type="dxa"/>
              <w:start w:w="120" w:type="dxa"/>
              <w:bottom w:w="65" w:type="dxa"/>
              <w:end w:w="120" w:type="dxa"/>
            </w:tcMar>
          </w:tcPr>
          <w:p>
            <w:pPr>
              <w:spacing w:after="0" w:line="240" w:lineRule="auto"/>
            </w:pPr>
            <w:r>
              <w:rPr>
                <w:rFonts w:ascii="DejaVu Sans" w:hAnsi="DejaVu Sans" w:eastAsia="DejaVu Sans"/>
                <w:b/>
                <w:color w:val="1E2528"/>
                <w:sz w:val="14"/>
              </w:rPr>
              <w:t>[ ] Costos de supervisión y no adopción registrados</w:t>
            </w:r>
          </w:p>
        </w:tc>
        <w:tc>
          <w:tcPr>
            <w:tcW w:type="dxa" w:w="5623"/>
            <w:vAlign w:val="center"/>
            <w:tcMar>
              <w:top w:w="65" w:type="dxa"/>
              <w:start w:w="120" w:type="dxa"/>
              <w:bottom w:w="65" w:type="dxa"/>
              <w:end w:w="120" w:type="dxa"/>
            </w:tcMar>
          </w:tcPr>
          <w:p>
            <w:pPr>
              <w:spacing w:after="0" w:line="240" w:lineRule="auto"/>
            </w:pPr>
            <w:r>
              <w:rPr>
                <w:rFonts w:ascii="DejaVu Sans" w:hAnsi="DejaVu Sans" w:eastAsia="DejaVu Sans"/>
                <w:b w:val="0"/>
                <w:color w:val="1E2528"/>
                <w:sz w:val="14"/>
              </w:rPr>
            </w:r>
          </w:p>
        </w:tc>
      </w:tr>
      <w:tr>
        <w:trPr>
          <w:cantSplit/>
          <w:trHeight w:val="360" w:hRule="atLeast"/>
        </w:trPr>
        <w:tc>
          <w:tcPr>
            <w:tcW w:type="dxa" w:w="4601"/>
            <w:vAlign w:val="center"/>
            <w:tcMar>
              <w:top w:w="65" w:type="dxa"/>
              <w:start w:w="120" w:type="dxa"/>
              <w:bottom w:w="65" w:type="dxa"/>
              <w:end w:w="120" w:type="dxa"/>
            </w:tcMar>
            <w:shd w:fill="EFF2F3"/>
          </w:tcPr>
          <w:p>
            <w:pPr>
              <w:spacing w:after="0" w:line="240" w:lineRule="auto"/>
            </w:pPr>
            <w:r>
              <w:rPr>
                <w:rFonts w:ascii="DejaVu Sans" w:hAnsi="DejaVu Sans" w:eastAsia="DejaVu Sans"/>
                <w:b/>
                <w:color w:val="1E2528"/>
                <w:sz w:val="14"/>
              </w:rPr>
              <w:t>Decisión organizativa</w:t>
            </w:r>
          </w:p>
        </w:tc>
        <w:tc>
          <w:tcPr>
            <w:tcW w:type="dxa" w:w="5623"/>
            <w:vAlign w:val="center"/>
            <w:tcMar>
              <w:top w:w="65" w:type="dxa"/>
              <w:start w:w="120" w:type="dxa"/>
              <w:bottom w:w="65" w:type="dxa"/>
              <w:end w:w="120" w:type="dxa"/>
            </w:tcMar>
            <w:shd w:fill="EFF2F3"/>
          </w:tcPr>
          <w:p>
            <w:pPr>
              <w:spacing w:after="0" w:line="240" w:lineRule="auto"/>
            </w:pPr>
            <w:r>
              <w:rPr>
                <w:rFonts w:ascii="DejaVu Sans" w:hAnsi="DejaVu Sans" w:eastAsia="DejaVu Sans"/>
                <w:b w:val="0"/>
                <w:color w:val="1E2528"/>
                <w:sz w:val="14"/>
              </w:rPr>
              <w:t>[ ] Proceder [ ] Limitar y probar [ ] No delegar [ ] Interrumpir</w:t>
            </w:r>
          </w:p>
        </w:tc>
      </w:tr>
      <w:tr>
        <w:trPr>
          <w:cantSplit/>
          <w:trHeight w:val="360" w:hRule="atLeast"/>
        </w:trPr>
        <w:tc>
          <w:tcPr>
            <w:tcW w:type="dxa" w:w="4601"/>
            <w:vAlign w:val="center"/>
            <w:tcMar>
              <w:top w:w="65" w:type="dxa"/>
              <w:start w:w="120" w:type="dxa"/>
              <w:bottom w:w="65" w:type="dxa"/>
              <w:end w:w="120" w:type="dxa"/>
            </w:tcMar>
          </w:tcPr>
          <w:p>
            <w:pPr>
              <w:spacing w:after="0" w:line="240" w:lineRule="auto"/>
            </w:pPr>
            <w:r>
              <w:rPr>
                <w:rFonts w:ascii="DejaVu Sans" w:hAnsi="DejaVu Sans" w:eastAsia="DejaVu Sans"/>
                <w:b/>
                <w:color w:val="1E2528"/>
                <w:sz w:val="14"/>
              </w:rPr>
              <w:t>Persona responsable, firma, fecha y revisión</w:t>
            </w:r>
          </w:p>
        </w:tc>
        <w:tc>
          <w:tcPr>
            <w:tcW w:type="dxa" w:w="5623"/>
            <w:vAlign w:val="center"/>
            <w:tcMar>
              <w:top w:w="65" w:type="dxa"/>
              <w:start w:w="120" w:type="dxa"/>
              <w:bottom w:w="65" w:type="dxa"/>
              <w:end w:w="120" w:type="dxa"/>
            </w:tcMar>
          </w:tcPr>
          <w:p>
            <w:pPr>
              <w:spacing w:after="0" w:line="240" w:lineRule="auto"/>
            </w:pPr>
            <w:r>
              <w:rPr>
                <w:rFonts w:ascii="DejaVu Sans" w:hAnsi="DejaVu Sans" w:eastAsia="DejaVu Sans"/>
                <w:b w:val="0"/>
                <w:color w:val="1E2528"/>
                <w:sz w:val="14"/>
              </w:rPr>
            </w:r>
          </w:p>
        </w:tc>
      </w:tr>
    </w:tbl>
    <w:p>
      <w:pPr>
        <w:spacing w:after="0"/>
      </w:pPr>
    </w:p>
    <w:sectPr>
      <w:headerReference w:type="default" r:id="rId9"/>
      <w:footerReference w:type="default" r:id="rId10"/>
      <w:footerReference w:type="first" r:id="rId11"/>
      <w:pgSz w:w="12240" w:h="15840"/>
      <w:pgMar w:top="1008" w:right="1008" w:bottom="1008" w:left="1008" w:header="432" w:footer="432"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tabs>
        <w:tab w:pos="10152" w:val="left"/>
      </w:tabs>
      <w:spacing w:before="0" w:after="0"/>
    </w:pPr>
    <w:r>
      <w:rPr>
        <w:rFonts w:ascii="DejaVu Sans" w:hAnsi="DejaVu Sans" w:eastAsia="DejaVu Sans"/>
        <w:color w:val="5D6870"/>
        <w:sz w:val="14"/>
      </w:rPr>
      <w:t>2050 - ES-INTL-R1 - LETTER - Instantánea de la edición en español - julio de 2026</w:t>
    </w:r>
    <w:r>
      <w:tab/>
    </w:r>
    <w:r>
      <w:rPr>
        <w:rFonts w:ascii="DejaVu Sans" w:hAnsi="DejaVu Sans" w:eastAsia="DejaVu Sans"/>
        <w:color w:val="5D6870"/>
        <w:sz w:val="16"/>
      </w:rPr>
      <w:fldChar w:fldCharType="begin"/>
      <w:instrText xml:space="preserve"> PAGE </w:instrText>
      <w:fldChar w:fldCharType="separate"/>
      <w:t>1</w:t>
      <w:fldChar w:fldCharType="end"/>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DejaVu Sans" w:hAnsi="DejaVu Sans" w:eastAsia="DejaVu Sans"/>
        <w:color w:val="5D6870"/>
        <w:sz w:val="15"/>
      </w:rPr>
      <w:t>https://www.corneritaliano.com/es/2050/recursos/</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after="0"/>
      <w:jc w:val="left"/>
    </w:pPr>
    <w:r>
      <w:rPr>
        <w:rFonts w:ascii="DejaVu Sans" w:hAnsi="DejaVu Sans" w:eastAsia="DejaVu Sans"/>
        <w:b/>
        <w:color w:val="B54B2A"/>
        <w:sz w:val="15"/>
      </w:rPr>
      <w:t xml:space="preserve">2050  |  RECURSOS OFICIALES  |  </w:t>
    </w:r>
    <w:r>
      <w:rPr>
        <w:rFonts w:ascii="DejaVu Sans" w:hAnsi="DejaVu Sans" w:eastAsia="DejaVu Sans"/>
        <w:color w:val="5D6870"/>
        <w:sz w:val="15"/>
      </w:rPr>
      <w:t>Protocolo avanzado de prueba con dos sistemas</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widowControl/>
      <w:spacing w:before="0" w:after="100" w:line="283" w:lineRule="auto"/>
    </w:pPr>
    <w:rPr>
      <w:rFonts w:ascii="DejaVu Sans" w:hAnsi="DejaVu Sans"/>
      <w:color w:val="1E2528"/>
      <w:sz w:val="18"/>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20" w:after="160"/>
      <w:outlineLvl w:val="0"/>
    </w:pPr>
    <w:rPr>
      <w:rFonts w:asciiTheme="majorHAnsi" w:eastAsiaTheme="majorEastAsia" w:hAnsiTheme="majorHAnsi" w:cstheme="majorBidi" w:ascii="DejaVu Sans" w:hAnsi="DejaVu Sans"/>
      <w:b/>
      <w:bCs/>
      <w:color w:val="123044"/>
      <w:sz w:val="34"/>
      <w:szCs w:val="28"/>
    </w:rPr>
  </w:style>
  <w:style w:type="paragraph" w:styleId="Heading2">
    <w:name w:val="heading 2"/>
    <w:basedOn w:val="Normal"/>
    <w:next w:val="Normal"/>
    <w:link w:val="Heading2Char"/>
    <w:uiPriority w:val="9"/>
    <w:unhideWhenUsed/>
    <w:qFormat/>
    <w:rsid w:val="00FC693F"/>
    <w:pPr>
      <w:keepNext/>
      <w:keepLines/>
      <w:spacing w:before="240" w:after="120"/>
      <w:outlineLvl w:val="1"/>
    </w:pPr>
    <w:rPr>
      <w:rFonts w:asciiTheme="majorHAnsi" w:eastAsiaTheme="majorEastAsia" w:hAnsiTheme="majorHAnsi" w:cstheme="majorBidi" w:ascii="DejaVu Sans" w:hAnsi="DejaVu Sans"/>
      <w:b/>
      <w:bCs/>
      <w:color w:val="B54B2A"/>
      <w:sz w:val="25"/>
      <w:szCs w:val="26"/>
    </w:rPr>
  </w:style>
  <w:style w:type="paragraph" w:styleId="Heading3">
    <w:name w:val="heading 3"/>
    <w:basedOn w:val="Normal"/>
    <w:next w:val="Normal"/>
    <w:link w:val="Heading3Char"/>
    <w:uiPriority w:val="9"/>
    <w:unhideWhenUsed/>
    <w:qFormat/>
    <w:rsid w:val="00FC693F"/>
    <w:pPr>
      <w:keepNext/>
      <w:keepLines/>
      <w:spacing w:before="180" w:after="80"/>
      <w:outlineLvl w:val="2"/>
    </w:pPr>
    <w:rPr>
      <w:rFonts w:asciiTheme="majorHAnsi" w:eastAsiaTheme="majorEastAsia" w:hAnsiTheme="majorHAnsi" w:cstheme="majorBidi" w:ascii="DejaVu Sans" w:hAnsi="DejaVu Sans"/>
      <w:b/>
      <w:bCs/>
      <w:color w:val="234C61"/>
      <w:sz w:val="2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keepNext/>
      <w:pBdr>
        <w:bottom w:val="single" w:sz="8" w:space="4" w:color="4F81BD" w:themeColor="accent1"/>
      </w:pBdr>
      <w:spacing w:after="160" w:line="240" w:lineRule="auto" w:before="0"/>
      <w:contextualSpacing/>
    </w:pPr>
    <w:rPr>
      <w:rFonts w:asciiTheme="majorHAnsi" w:eastAsiaTheme="majorEastAsia" w:hAnsiTheme="majorHAnsi" w:cstheme="majorBidi" w:ascii="DejaVu Sans" w:hAnsi="DejaVu Sans"/>
      <w:b/>
      <w:color w:val="123044"/>
      <w:spacing w:val="5"/>
      <w:kern w:val="28"/>
      <w:sz w:val="56"/>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keepNext/>
      <w:numPr>
        <w:ilvl w:val="1"/>
      </w:numPr>
      <w:spacing w:before="0" w:after="240"/>
    </w:pPr>
    <w:rPr>
      <w:rFonts w:asciiTheme="majorHAnsi" w:eastAsiaTheme="majorEastAsia" w:hAnsiTheme="majorHAnsi" w:cstheme="majorBidi" w:ascii="DejaVu Sans" w:hAnsi="DejaVu Sans"/>
      <w:b w:val="0"/>
      <w:i/>
      <w:iCs/>
      <w:color w:val="5D6870"/>
      <w:spacing w:val="15"/>
      <w:sz w:val="26"/>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footer" Target="footer2.xml"/><Relationship Id="rId12" Type="http://schemas.openxmlformats.org/officeDocument/2006/relationships/image" Target="media/image1.png"/><Relationship Id="rId13" Type="http://schemas.openxmlformats.org/officeDocument/2006/relationships/hyperlink" Target="https://www.corneritaliano.com/es/2050/recurso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Protocolo avanzado de prueba con dos sistemas</dc:title>
  <dc:subject>Recurso complementario oficial de 2050</dc:subject>
  <dc:creator/>
  <cp:keywords>2050, inteligencia artificial, Prueba 2050, recursos</cp:keywords>
  <dc:description>generated by python-docx</dc:description>
  <cp:lastModifiedBy/>
  <cp:revision>1</cp:revision>
  <dcterms:created xsi:type="dcterms:W3CDTF">2013-12-23T23:15:00Z</dcterms:created>
  <dcterms:modified xsi:type="dcterms:W3CDTF">2013-12-23T23:15:00Z</dcterms:modified>
  <cp:category/>
</cp:coreProperties>
</file>