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Cronología esencial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Desde el surgimiento de la IA hasta los umbrales narrativos de 2050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HECHOS, SÍNTESIS, REGULACIÓN Y ESCENARIOS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  <w:tblHeader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MÉTODO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cronología selecciona los hitos necesarios para orientarse en el libro y califica cada entrada como hecho o síntesis histórica, hecho regulatorio, escenario narrativo o propuesta del autor.</w:t>
            </w:r>
          </w:p>
        </w:tc>
      </w:tr>
    </w:tbl>
    <w:p>
      <w:pPr>
        <w:spacing w:after="0"/>
      </w:pP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176"/>
        <w:gridCol w:w="7714"/>
      </w:tblGrid>
      <w:tr>
        <w:trPr>
          <w:tblHeader w:val="true"/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Fecha o periodo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Hito y calificación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1950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Alan Turing publica Computing Machinery and Intelligence y sustituye la pregunta abstracta «¿Pueden pensar las máquinas?» por el juego de imitación, desplazando la atención hacia una conducta observable.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1955-1956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John McCarthy, Marvin Minsky, Nathaniel Rochester y Claude Shannon preparan la propuesta del taller de verano de Dartmouth; la expresión inteligencia artificial se convierte en el emblema de un nuevo campo de investigación.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Finales de la década de 1950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El perceptrón de Frank Rosenblatt impulsa la idea de que una máquina puede aprender de ejemplos, mientras el hardware, los datos y los métodos siguen siendo limitados.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1966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Joseph Weizenbaum presenta ELIZA, un programa sencillo capaz de producir, mediante reglas y palabras clave, una sorprendente impresión de escucha.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y síntesis históricos. Marvin Minsky y Seymour Papert analizan los límites de los perceptrones simples. Los posteriores inviernos de la IA reflejan también la distancia entre promesas, financiamiento, capacidad de cómputo y resultados.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ARPANET transmite su primer mensaje entre dos nodos, vuelve concreta una red con conmutación de paquetes y abre el camino a arquitecturas de comunicación más amplias.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de enero de 1983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ARPANET completa la transición a TCP/IP: redes diferentes pueden comunicarse mediante una familia común de protocolos, paso decisivo hacia Internet como red de redes.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1986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David Rumelhart, Geoffrey Hinton y Ronald Williams demuestran de manera influyente cómo la retropropagación puede entrenar redes con varias capas.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1989-1991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Tim Berners-Lee propone la World Wide Web en el CERN en 1989, desarrolla el primer navegador y el primer servidor y, en 1991, el proyecto comienza a salir del laboratorio y abre la red a la navegación hipertextual.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1997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Deep Blue derrota a Garry Kasparov en un encuentro de seis partidas y hace visible para un público amplio la potencia del cálculo dentro de un dominio con reglas cerradas.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Década de 1990 e inicios de la de 2000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Internet, la Web y los servicios móviles transforman la red de entorno especializado en infraestructura cotidiana; archivos, identidades, comunicaciones y servicios dependen cada vez más de sistemas interconectados.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2012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AlexNet obtiene un resultado notablemente superior en la competición ImageNet mediante procesadores gráficos y hace visible la aceleración del aprendizaje profundo en el reconocimiento de imágenes.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2017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Attention Is All You Need presenta la arquitectura Transformer, que se volverá central para los grandes modelos de lenguaje y numerosos sistemas generativos.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30 de noviembre de 2022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ChatGPT se presenta al público como versión preliminar de investigación y hace accesible la IA conversacional a escala cotidiana.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Décadas de 2010 y 2020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Servicios en la nube, centros de datos, API, plataformas y objetos conectados se combinan en una infraestructura cada vez más invisible de la que dependen el trabajo, la atención médica, el gobierno, la movilidad y la información.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de agosto de 2024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regulatorio. Entra en vigor el Reglamento (UE) 2024/1689, conocido como AI Act. Sus disposiciones se aplican progresivamente; la fecha no significa que todas las obligaciones comiencen al mismo tiempo.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Alrededor de 2050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Escenario narrativo. Las viñetas, organizadas por temas, abarcan varios años. Los intervalos de catorce y dieciocho meses pertenecen al hilo de Asha; las revisiones de seis meses corresponden a Marta y Lidia, y a Davide. Las fechas, costos, tiempos, cantidades, capacidades y configuraciones geopolíticas futuras son parámetros del escenario, no pronósticos ni valores observados. Los escenarios incluyen proyectos limitados, interrumpidos y no adoptados.</w:t>
            </w:r>
          </w:p>
        </w:tc>
      </w:tr>
      <w:tr>
        <w:trPr>
          <w:cantSplit/>
        </w:trPr>
        <w:tc>
          <w:tcPr>
            <w:tcW w:type="dxa" w:w="2176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Propuestas del libro</w:t>
            </w:r>
          </w:p>
        </w:tc>
        <w:tc>
          <w:tcPr>
            <w:tcW w:type="dxa" w:w="7714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Propuesta del autor. La Prueba 2050, la minimización de la prueba, el gemelo operativo, la licencia viva y la directiva digital post mortem son herramientas que deben probarse, corregirse o abandonarse: no son hechos consumados, legislación uniforme ni predicciones.</w:t>
            </w:r>
          </w:p>
        </w:tc>
      </w:tr>
    </w:tbl>
    <w:p>
      <w:pPr>
        <w:spacing w:after="0"/>
      </w:pPr>
    </w:p>
    <w:p>
      <w:pPr>
        <w:pStyle w:val="Heading1"/>
      </w:pPr>
      <w:r>
        <w:t>Cómo citar la cronología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Las entradas históricas y regulatorias remiten a la bibliografía navegable del Centro de recursos. Las escenas situadas alrededor de 2050 siguen siendo parámetros narrativos, no predicciones. Las propuestas del libro deben probarse, corregirse o abandonarse según la evidencia y el contexto.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A4 -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Cronología esencial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Cronología esencial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