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tipo editorial d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RECURSOS OFICIALES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Cronología esencial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Desde el surgimiento de la IA hasta los umbrales narrativos de 2050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HECHOS, SÍNTESIS, REGULACIÓN Y ESCENARIOS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Instantánea de la edición en español - julio de 2026 - Formato Carta (8,5 x 11 pulg.)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https://www.corneritaliano.com/es/2050/recursos/</w:t>
        </w:r>
      </w:hyperlink>
    </w:p>
    <w:p>
      <w:r>
        <w:br w:type="page"/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  <w:tblHeader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MÉTODO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Esta cronología selecciona los hitos necesarios para orientarse en el libro y califica cada entrada como hecho o síntesis histórica, hecho regulatorio, escenario narrativo o propuesta del autor.</w:t>
            </w:r>
          </w:p>
        </w:tc>
      </w:tr>
    </w:tbl>
    <w:p>
      <w:pPr>
        <w:spacing w:after="0"/>
      </w:pP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249"/>
        <w:gridCol w:w="7975"/>
      </w:tblGrid>
      <w:tr>
        <w:trPr>
          <w:tblHeader w:val="true"/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Fecha o periodo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Hito y calificación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1950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histórico. Alan Turing publica Computing Machinery and Intelligence y sustituye la pregunta abstracta «¿Pueden pensar las máquinas?» por el juego de imitación, desplazando la atención hacia una conducta observable.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1955-1956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histórico. John McCarthy, Marvin Minsky, Nathaniel Rochester y Claude Shannon preparan la propuesta del taller de verano de Dartmouth; la expresión inteligencia artificial se convierte en el emblema de un nuevo campo de investigación.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Finales de la década de 1950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Síntesis histórica. El perceptrón de Frank Rosenblatt impulsa la idea de que una máquina puede aprender de ejemplos, mientras el hardware, los datos y los métodos siguen siendo limitados.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1966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histórico. Joseph Weizenbaum presenta ELIZA, un programa sencillo capaz de producir, mediante reglas y palabras clave, una sorprendente impresión de escucha.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1969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y síntesis históricos. Marvin Minsky y Seymour Papert analizan los límites de los perceptrones simples. Los posteriores inviernos de la IA reflejan también la distancia entre promesas, financiamiento, capacidad de cómputo y resultados.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1969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Historia de la infraestructura. ARPANET transmite su primer mensaje entre dos nodos, vuelve concreta una red con conmutación de paquetes y abre el camino a arquitecturas de comunicación más amplias.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 de enero de 1983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Historia de la infraestructura. ARPANET completa la transición a TCP/IP: redes diferentes pueden comunicarse mediante una familia común de protocolos, paso decisivo hacia Internet como red de redes.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1986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histórico. David Rumelhart, Geoffrey Hinton y Ronald Williams demuestran de manera influyente cómo la retropropagación puede entrenar redes con varias capas.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1989-1991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Historia de la infraestructura. Tim Berners-Lee propone la World Wide Web en el CERN en 1989, desarrolla el primer navegador y el primer servidor y, en 1991, el proyecto comienza a salir del laboratorio y abre la red a la navegación hipertextual.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1997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histórico. Deep Blue derrota a Garry Kasparov en un encuentro de seis partidas y hace visible para un público amplio la potencia del cálculo dentro de un dominio con reglas cerradas.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Década de 1990 e inicios de la de 2000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Síntesis histórica. Internet, la Web y los servicios móviles transforman la red de entorno especializado en infraestructura cotidiana; archivos, identidades, comunicaciones y servicios dependen cada vez más de sistemas interconectados.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2012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histórico. AlexNet obtiene un resultado notablemente superior en la competición ImageNet mediante procesadores gráficos y hace visible la aceleración del aprendizaje profundo en el reconocimiento de imágenes.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2017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histórico. Attention Is All You Need presenta la arquitectura Transformer, que se volverá central para los grandes modelos de lenguaje y numerosos sistemas generativos.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30 de noviembre de 2022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histórico. ChatGPT se presenta al público como versión preliminar de investigación y hace accesible la IA conversacional a escala cotidiana.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Décadas de 2010 y 2020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Síntesis histórica. Servicios en la nube, centros de datos, API, plataformas y objetos conectados se combinan en una infraestructura cada vez más invisible de la que dependen el trabajo, la atención médica, el gobierno, la movilidad y la información.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 de agosto de 2024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Hecho regulatorio. Entra en vigor el Reglamento (UE) 2024/1689, conocido como AI Act. Sus disposiciones se aplican progresivamente; la fecha no significa que todas las obligaciones comiencen al mismo tiempo.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Alrededor de 2050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Escenario narrativo. Las viñetas, organizadas por temas, abarcan varios años. Los intervalos de catorce y dieciocho meses pertenecen al hilo de Asha; las revisiones de seis meses corresponden a Marta y Lidia, y a Davide. Las fechas, costos, tiempos, cantidades, capacidades y configuraciones geopolíticas futuras son parámetros del escenario, no pronósticos ni valores observados. Los escenarios incluyen proyectos limitados, interrumpidos y no adoptados.</w:t>
            </w:r>
          </w:p>
        </w:tc>
      </w:tr>
      <w:tr>
        <w:trPr>
          <w:cantSplit/>
        </w:trPr>
        <w:tc>
          <w:tcPr>
            <w:tcW w:type="dxa" w:w="2249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Propuestas del libro</w:t>
            </w:r>
          </w:p>
        </w:tc>
        <w:tc>
          <w:tcPr>
            <w:tcW w:type="dxa" w:w="7975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Propuesta del autor. La Prueba 2050, la minimización de la prueba, el gemelo operativo, la licencia viva y la directiva digital post mortem son herramientas que deben probarse, corregirse o abandonarse: no son hechos consumados, legislación uniforme ni predicciones.</w:t>
            </w:r>
          </w:p>
        </w:tc>
      </w:tr>
    </w:tbl>
    <w:p>
      <w:pPr>
        <w:spacing w:after="0"/>
      </w:pPr>
    </w:p>
    <w:p>
      <w:pPr>
        <w:pStyle w:val="Heading1"/>
      </w:pPr>
      <w:r>
        <w:t>Cómo citar la cronología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Las entradas históricas y regulatorias remiten a la bibliografía navegable del Centro de recursos. Las escenas situadas alrededor de 2050 siguen siendo parámetros narrativos, no predicciones. Las propuestas del libro deben probarse, corregirse o abandonarse según la evidencia y el contexto.</w:t>
      </w:r>
    </w:p>
    <w:sectPr>
      <w:headerReference w:type="default" r:id="rId9"/>
      <w:footerReference w:type="default" r:id="rId10"/>
      <w:footerReference w:type="first" r:id="rId11"/>
      <w:pgSz w:w="12240" w:h="15840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ES-INTL-R1 - LETTER - Instantánea de la edición en español - julio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https://www.corneritaliano.com/es/2050/recursos/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OFICIALES  |  </w:t>
    </w:r>
    <w:r>
      <w:rPr>
        <w:rFonts w:ascii="DejaVu Sans" w:hAnsi="DejaVu Sans" w:eastAsia="DejaVu Sans"/>
        <w:color w:val="5D6870"/>
        <w:sz w:val="15"/>
      </w:rPr>
      <w:t>Cronología esencial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es/2050/recurso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Cronología esencial</dc:title>
  <dc:subject>Recurso complementario oficial de 2050</dc:subject>
  <dc:creator/>
  <cp:keywords>2050, inteligencia artificial, Prueba 2050, recursos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