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OFICIALES</w:t>
      </w:r>
    </w:p>
    <w:p>
      <w:pPr>
        <w:pStyle w:val="Title"/>
        <w:jc w:val="center"/>
        <w:spacing w:line="640" w:lineRule="exact"/>
      </w:pPr>
      <w:r>
        <w:rPr>
          <w:rFonts w:ascii="EB Garamond" w:hAnsi="EB Garamond" w:eastAsia="EB Garamond" w:cs="EB Garamond"/>
          <w:b/>
          <w:color w:val="183445"/>
          <w:sz w:val="56"/>
          <w:szCs w:val="56"/>
        </w:rPr>
        <w:t xml:space="preserve">Cronología esencial</w:t>
      </w:r>
    </w:p>
    <w:p>
      <w:pPr>
        <w:pStyle w:val="Subtitle"/>
        <w:jc w:val="center"/>
        <w:spacing w:line="320" w:lineRule="exact"/>
      </w:pPr>
      <w:r>
        <w:rPr>
          <w:rFonts w:ascii="EB Garamond" w:hAnsi="EB Garamond" w:eastAsia="EB Garamond" w:cs="EB Garamond"/>
          <w:color w:val="5A686F"/>
          <w:sz w:val="26"/>
          <w:szCs w:val="26"/>
        </w:rPr>
        <w:t xml:space="preserve">Desde el surgimiento de la IA hasta los umbrales narrativos de 2050</w:t>
      </w:r>
    </w:p>
    <w:p>
      <w:pPr>
        <w:spacing w:before="440" w:line="270" w:lineRule="exact"/>
        <w:jc w:val="center"/>
      </w:pPr>
      <w:r>
        <w:rPr>
          <w:rFonts w:ascii="EB Garamond" w:hAnsi="EB Garamond" w:eastAsia="EB Garamond" w:cs="EB Garamond"/>
          <w:b/>
          <w:color w:val="B04A35"/>
          <w:sz w:val="21"/>
          <w:szCs w:val="21"/>
        </w:rPr>
        <w:t xml:space="preserve">HECHOS, SÍNTESIS, REGULACIÓN Y ESCENARIOS</w:t>
      </w:r>
    </w:p>
    <w:p>
      <w:pPr>
        <w:jc w:val="center"/>
        <w:spacing w:line="270" w:lineRule="exact"/>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https://www.corneritaliano.com/es/2050/recursos/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MÉTODO  Esta cronología selecciona hitos que ayudan a los lectores a orientarse en el libro. Cada entrada identifica su condición de hecho o síntesis histórica, hecho normativo, escenario narrativo o propuesta del autor. Las publicaciones técnicas se identifican dentro de los hechos históricos. Las fechas jurídicas posteriores al 30 de julio de 2026 se marcan como programadas.</w:t>
            </w:r>
          </w:p>
        </w:tc>
      </w:tr>
    </w:tbl>
    <w:p>
      <w:pPr>
        <w:spacing w:after="0"/>
      </w:pP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165"/>
        <w:gridCol w:w="7675"/>
      </w:tblGrid>
      <w:tr>
        <w:trPr>
          <w:tblHeader w:val="true"/>
          <w:cantSplit/>
        </w:trPr>
        <w:tc>
          <w:tcPr>
            <w:tcW w:type="dxa" w:w="216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Fecha o período</w:t>
            </w:r>
          </w:p>
        </w:tc>
        <w:tc>
          <w:tcPr>
            <w:tcW w:type="dxa" w:w="767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Hito y calificación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Hecho histórico. Alan Turing publica «Computing Machinery and Intelligence» y sustituye la pregunta abstracta «¿Pueden pensar las máquinas?» por el juego de imitación, desplazando la atención hacia el comportamiento observable.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John McCarthy, Marvin Minsky, Nathaniel Rochester y Claude Shannon preparan la propuesta del taller de verano de Dartmouth; la expresión inteligencia artificial se convierte en la bandera de un nuevo campo de investigación.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Finales de la década de 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Síntesis histórica. El perceptrón de Frank Rosenblatt impulsa la idea de que una máquina puede aprender de ejemplos, mientras el hardware, los datos y los métodos siguen siendo limitados.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Joseph Weizenbaum presenta ELIZA, un programa sencillo capaz de producir, mediante reglas y palabras clave, una sorprendente impresión de escucha.</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Hecho y síntesis históricos. Marvin Minsky y Seymour Papert analizan las limitaciones de los perceptrones simples. Los posteriores inviernos de la IA también reflejan la brecha entre promesas, financiación, capacidad de cómputo y resultados.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Historia de la infraestructura. ARPANET transmite su primer mensaje entre dos nodos, concretando una red de conmutación de paquetes y abriendo el camino a arquitecturas de comunicación más amplias.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de enero de 1983</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Historia de la infraestructura. ARPANET completa la transición a TCP/IP: redes diferentes pueden comunicarse mediante una familia común de protocolos, un paso decisivo hacia Internet como red de redes.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David Rumelhart, Geoffrey Hinton y Ronald Williams demuestran de forma influyente cómo la retropropagación puede entrenar redes multicapa.</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Historia de la infraestructura. Tim Berners-Lee propone la World Wide Web en el CERN en 1989, desarrolla el primer navegador y servidor y, en 1991, el proyecto comienza a salir del laboratorio, abriendo la red a la navegación hipertextual.</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Deep Blue derrota a Garry Kasparov en un encuentro de seis partidas, haciendo visible para un público amplio el poder del cálculo en un ámbito de reglas cerradas.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Década de 1990 a comienzos de la década de 2000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Síntesis histórica. Internet, la Web y los servicios móviles transforman la red de un entorno especializado en infraestructura cotidiana; archivos, identidades, comunicaciones y servicios dependen cada vez más de sistemas interconectados.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AlexNet logra un resultado notablemente superior en la competición ImageNet utilizando procesadores gráficos y hace visible la aceleración del aprendizaje profundo en el reconocimiento de imágenes.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Hecho histórico. «Attention Is All You Need» presenta la arquitectura Transformer, que se convertirá en un elemento central de los modelos de lenguaje de gran tamaño y muchos sistemas generativos.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30 de noviembre de 2022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ChatGPT se presenta al público como una versión preliminar de investigación y vuelve accesible la IA conversacional a escala cotidiana.</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Décadas de 2010 y 2020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Síntesis histórica. Los servicios en la nube, los centros de datos, las API, las plataformas y los objetos conectados se combinan en una infraestructura cada vez más invisible de la que dependen el trabajo, la atención sanitaria, la administración pública, la movilidad y la información.</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 de agosto de 2024</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Entra en vigor el Reglamento (UE) 2024/1689, conocido como Reglamento de IA. Sus disposiciones se aplican progresivamente; la fecha no significa que todas las obligaciones entren en aplicación al mismo tiempo.</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febrero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Comienzan a aplicarse las disposiciones sobre prácticas prohibidas y la obligación original de alfabetización en IA del Reglamento de IA. La modificación de julio de 2026 reformula posteriormente el artículo 4 como una obligación de apoyar el desarrollo de la alfabetización en IA. [SRC-S34-001]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15 de mayo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normas técnicas. W3C publica Verifiable Credentials Data Model v2.0, Verifiable Credential Data Integrity 1.0 y Securing Verifiable Credentials Using JOSE and COSE como Recomendaciones. [SRC-W3C-VC20] [SRC-W3C-DI] [SRC-W3C-JOSE]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9 de julio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especificación técnica. OpenID for Verifiable Presentations 1.0 se convierte en una especificación final para los flujos de presentación de credenciales. [SRC-OID4VP]</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de julio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orientación voluntaria. Se publica el General-Purpose AI Code of Practice final para apoyar el cumplimiento del Reglamento de IA. El código es un instrumento voluntario.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Julio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norma técnica. NIST publica la versión final de Digital Identity Guidelines, Special Publication 800-63-4. [SRC-NIST-ID4]</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Comienzan a aplicarse las obligaciones del artículo 53 del Reglamento de IA para proveedores de modelos de IA de uso general, sujetas al alcance y las disposiciones transitorias. Los modelos introducidos en el mercado antes de esta fecha tienen un plazo de cumplimiento posterior. [SRC-S34-001]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16 de septiembre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especificación técnica. OpenID for Verifiable Credential Issuance 1.0 se convierte en una especificación final para los flujos de emisión de credenciales. [SRC-OID4VCI]</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de junio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orientación voluntaria. Se publica el Code of Practice on Transparency of AI-Generated Content final. Ofrece orientación sobre el marcado y el etiquetado, pero la adhesión por sí sola no demuestra el cumplimiento del artículo 50. [SRC-S34-020]</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8 de julio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Se adopta el Reglamento (UE) 2026/1744, el Ómnibus Digital sobre IA. La adopción es distinta de la publicación y de la entrada en vigor.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23 de julio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marco técnico. Se publica la versión 3.0.0 del European Digital Identity Wallet Architecture and Reference Framework. El marco técnico apoya la implementación y es distinto de las obligaciones jurídicas. [SRC-S34-009]</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24 de julio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El Reglamento (UE) 2026/1744 se publica en el Diario Oficial de la Unión Europea.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27 de julio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Entra en vigor el Reglamento (UE) 2026/1744. Las obligaciones del Reglamento de IA siguen sujetas a sus respectivas fechas de aplicación y disposiciones transitorias.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Está previsto que comiencen a aplicarse las obligaciones de transparencia del artículo 50, apartados 1, 2, 4 y 5, sujetas a excepciones y períodos transitorios. También está previsto que los poderes de ejecución de la Comisión respecto de los modelos de IA de uso general comiencen a aplicarse en esta fecha. [SRC-S34-001] [SRC-S34-020]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diciembre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Los Estados miembros deben transponer la Directiva sobre el trabajo en plataformas. También es el final programado del período transitorio del artículo 50, apartado 2, para los proveedores de sistemas de contenido sintético cubiertos introducidos en el mercado antes del 2 de agosto de 2026. [SRC-S34-012]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31 de diciembre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Está previsto que determinados plazos relacionados con la condición y las solicitudes de Authorized IC Designer venzan en esta fecha conforme a la norma del BIS publicada el 9 de abril de 2026 y vigente desde el 7 de abril de 2026. La aplicabilidad depende de la transacción y del alcance de la norma. [SRC-BIS-IC-DESIGNER26]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Los proveedores de modelos de IA de uso general introducidos en el mercado antes del 2 de agosto de 2025 deben cumplir las obligaciones aplicables del Reglamento de IA. [SRC-S34-001] [SRC-S34-021]</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Alrededor de 2050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Escenario narrativo. Las viñetas, organizadas por tema, abarcan varios años. Los intervalos de catorce y dieciocho meses pertenecen al hilo de Asha; las revisiones semestrales corresponden a Marta y Lidia, y a Davide. Las fechas futuras, los costos, los tiempos, las cantidades, las capacidades y los acuerdos geopolíticos son parámetros de los escenarios, no pronósticos ni valores observados. Los escenarios incluyen proyectos limitados, interrumpidos y no adoptados.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Propuestas del libro</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Propuesta del autor. La Prueba 2050, la minimización de la prueba, el gemelo operativo, la licencia viva y la directiva digital post mortem son herramientas para probar, corregir o abandonar: no son hechos consumados, derecho uniforme ni predicciones.</w:t>
            </w:r>
          </w:p>
        </w:tc>
      </w:tr>
    </w:tbl>
    <w:p>
      <w:pPr>
        <w:spacing w:after="0"/>
      </w:pPr>
    </w:p>
    <w:p>
      <w:pPr>
        <w:pStyle w:val="Heading1"/>
        <w:spacing w:line="460" w:lineRule="exact"/>
      </w:pPr>
      <w:r>
        <w:rPr>
          <w:rFonts w:ascii="EB Garamond" w:hAnsi="EB Garamond" w:eastAsia="EB Garamond" w:cs="EB Garamond"/>
          <w:sz w:val="40"/>
          <w:szCs w:val="40"/>
          <w:color w:val="183445"/>
        </w:rPr>
        <w:t xml:space="preserve">Cómo citar la cronología</w:t>
      </w:r>
    </w:p>
    <w:p>
      <w:pPr>
        <w:keepLines w:val="0"/>
        <w:spacing w:line="270" w:lineRule="exact"/>
      </w:pPr>
      <w:r>
        <w:rPr>
          <w:rFonts w:ascii="EB Garamond" w:hAnsi="EB Garamond" w:eastAsia="EB Garamond" w:cs="EB Garamond"/>
          <w:color w:val="1F2D33"/>
          <w:sz w:val="21"/>
          <w:szCs w:val="21"/>
        </w:rPr>
        <w:t xml:space="preserve">Las entradas históricas y normativas remiten a la bibliografía navegable del Centro de recursos. Utilice los códigos SRC para localizar las fuentes de los hitos añadidos. Las escenas alrededor de 2050 siguen siendo parámetros narrativos, no predicciones. Ponga a prueba las propuestas del libro frente a la evidencia y el contexto y, después, decida si debe corregirlas o abandonarlas.</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Cronología esencial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es/2050/recurso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Cronología esencial | ES-INTL-R2.3 | Español | English source V51.2</dc:title>
  <dc:subject>Cronología esencial | ES-INTL-R2.3 | Español | English source V51.2</dc:subject>
  <dc:creator>Marco De Prosperis</dc:creator>
  <cp:keywords>2050, EN-US-R2.3, July 2026 documentary snapshot, revised English interior</cp:keywords>
  <dc:description>Cronología esencial | ES-INTL-R2.3 | Español | English source V51.2</dc:description>
  <cp:lastModifiedBy>Corner Italiano LLC</cp:lastModifiedBy>
  <cp:revision>2</cp:revision>
  <dcterms:created xsi:type="dcterms:W3CDTF">2013-12-23T23:15:00Z</dcterms:created>
  <dcterms:modified xsi:type="dcterms:W3CDTF">2026-09-10T15:55:33Z</dcterms:modified>
  <cp:category/>
  <dc:language>es</dc:language>
</cp:coreProperties>
</file>