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4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508760" cy="1005840"/>
            <wp:docPr id="1" name="Picture 1" descr="Corner Italiano editorial logo" title="Corner Italian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rner-italiano-log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1005840"/>
                    </a:xfrm>
                    <a:prstGeom prst="rect"/>
                  </pic:spPr>
                </pic:pic>
              </a:graphicData>
            </a:graphic>
          </wp:inline>
        </w:drawing>
        <w:rPr>
          <w:rFonts w:ascii="EB Garamond" w:hAnsi="EB Garamond" w:eastAsia="EB Garamond" w:cs="EB Garamond"/>
          <w:sz w:val="21"/>
          <w:szCs w:val="21"/>
        </w:rPr>
      </w:r>
    </w:p>
    <w:p>
      <w:pPr>
        <w:spacing w:before="520" w:after="160" w:line="270" w:lineRule="exact"/>
        <w:jc w:val="center"/>
      </w:pPr>
      <w:r>
        <w:rPr>
          <w:rFonts w:ascii="EB Garamond" w:hAnsi="EB Garamond" w:eastAsia="EB Garamond" w:cs="EB Garamond"/>
          <w:b/>
          <w:color w:val="B04A35"/>
          <w:sz w:val="21"/>
          <w:szCs w:val="21"/>
        </w:rPr>
        <w:t xml:space="preserve">CORNER ITALIANO  |  RECURSOS OFICIALES</w:t>
      </w:r>
    </w:p>
    <w:p>
      <w:pPr>
        <w:pStyle w:val="Title"/>
        <w:jc w:val="center"/>
        <w:spacing w:line="640" w:lineRule="exact"/>
      </w:pPr>
      <w:r>
        <w:rPr>
          <w:rFonts w:ascii="EB Garamond" w:hAnsi="EB Garamond" w:eastAsia="EB Garamond" w:cs="EB Garamond"/>
          <w:b/>
          <w:color w:val="183445"/>
          <w:sz w:val="56"/>
          <w:szCs w:val="56"/>
        </w:rPr>
        <w:t xml:space="preserve">Mapa temático</w:t>
      </w:r>
    </w:p>
    <w:p>
      <w:pPr>
        <w:pStyle w:val="Subtitle"/>
        <w:jc w:val="center"/>
        <w:spacing w:line="320" w:lineRule="exact"/>
      </w:pPr>
      <w:r>
        <w:rPr>
          <w:rFonts w:ascii="EB Garamond" w:hAnsi="EB Garamond" w:eastAsia="EB Garamond" w:cs="EB Garamond"/>
          <w:color w:val="5A686F"/>
          <w:sz w:val="26"/>
          <w:szCs w:val="26"/>
        </w:rPr>
        <w:t xml:space="preserve">Dónde encontrar las preguntas centrales del libro</w:t>
      </w:r>
    </w:p>
    <w:p>
      <w:pPr>
        <w:spacing w:before="440" w:line="270" w:lineRule="exact"/>
        <w:jc w:val="center"/>
      </w:pPr>
      <w:r>
        <w:rPr>
          <w:rFonts w:ascii="EB Garamond" w:hAnsi="EB Garamond" w:eastAsia="EB Garamond" w:cs="EB Garamond"/>
          <w:b/>
          <w:color w:val="B04A35"/>
          <w:sz w:val="21"/>
          <w:szCs w:val="21"/>
        </w:rPr>
        <w:t xml:space="preserve">ÍNDICE DE LECTURA TEMÁTICO</w:t>
      </w:r>
    </w:p>
    <w:p>
      <w:pPr>
        <w:jc w:val="center"/>
        <w:spacing w:line="270" w:lineRule="exact"/>
      </w:pPr>
      <w:r>
        <w:rPr>
          <w:rFonts w:ascii="EB Garamond" w:hAnsi="EB Garamond" w:eastAsia="EB Garamond" w:cs="EB Garamond"/>
          <w:color w:val="183445"/>
          <w:sz w:val="21"/>
          <w:szCs w:val="21"/>
        </w:rPr>
        <w:t xml:space="preserve">Alineado con el interior revisado en inglés · Instantánea documental de julio de 2026 · Versión de los recursos ES-INTL-R2.3</w:t>
      </w:r>
    </w:p>
    <w:p>
      <w:pPr>
        <w:spacing w:before="360" w:line="270" w:lineRule="exact"/>
        <w:jc w:val="center"/>
      </w:pPr>
      <w:hyperlink r:id="rId13">
        <w:r>
          <w:rPr>
            <w:rFonts w:ascii="EB Garamond" w:hAnsi="EB Garamond" w:eastAsia="EB Garamond" w:cs="EB Garamond"/>
            <w:color w:val="183445"/>
            <w:u w:val="single"/>
            <w:sz w:val="21"/>
            <w:szCs w:val="21"/>
          </w:rPr>
          <w:t>https://www.corneritaliano.com/es/2050/recursos/</w:t>
        </w:r>
      </w:hyperlink>
    </w:p>
    <w:p>
      <w:r>
        <w:br w:type="page"/>
        <w:rPr>
          <w:rFonts w:ascii="EB Garamond" w:hAnsi="EB Garamond" w:eastAsia="EB Garamond" w:cs="EB Garamond"/>
          <w:sz w:val="21"/>
          <w:szCs w:val="21"/>
        </w:rPr>
      </w:r>
      <w:pPr/>
    </w:p>
    <w:tbl>
      <w:tblPr>
        <w:tblW w:type="dxa" w:w="9840"/>
        <w:jc w:val="left"/>
        <w:tblLayout w:type="fixed"/>
        <w:tblLook w:firstColumn="1" w:firstRow="1" w:lastColumn="0" w:lastRow="0" w:noHBand="0" w:noVBand="1" w:val="04A0"/>
        <w:tblInd w:w="150" w:type="dxa"/>
        <w:tblBorders>
          <w:top w:val="single" w:sz="7" w:space="0" w:color="B54B2A"/>
          <w:left w:val="single" w:sz="7" w:space="0" w:color="B54B2A"/>
          <w:bottom w:val="single" w:sz="7" w:space="0" w:color="B54B2A"/>
          <w:right w:val="single" w:sz="7" w:space="0" w:color="B54B2A"/>
          <w:insideH w:val="single" w:sz="7" w:space="0" w:color="B54B2A"/>
          <w:insideV w:val="single" w:sz="7" w:space="0" w:color="B54B2A"/>
        </w:tblBorders>
      </w:tblPr>
      <w:tblGrid>
        <w:gridCol w:w="9840"/>
      </w:tblGrid>
      <w:tr>
        <w:trPr>
          <w:cantSplit/>
        </w:trPr>
        <w:tc>
          <w:tcPr>
            <w:tcW w:type="dxa" w:w="9840"/>
            <w:shd w:fill="F7E7E0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40" w:line="210" w:lineRule="exact"/>
            </w:pPr>
            <w:r>
              <w:rPr>
                <w:rFonts w:ascii="EB Garamond" w:hAnsi="EB Garamond" w:eastAsia="EB Garamond" w:cs="EB Garamond"/>
                <w:color w:val="1F2D33"/>
                <w:sz w:val="17"/>
                <w:szCs w:val="17"/>
              </w:rPr>
              <w:t xml:space="preserve">ORIENTACIÓN  El libro desarrolla estas preguntas a distintas escalas. Utilice los números de capítulo y los títulos de sección para encontrar cada tema cuando cambie la paginación. Los títulos corresponden al interior revisado en inglés (2026).</w:t>
            </w:r>
          </w:p>
        </w:tc>
      </w:tr>
    </w:tbl>
    <w:p>
      <w:pPr>
        <w:spacing w:after="0"/>
      </w:pP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Esperanza adulta y límites a la delegación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Introducción, «La distancia hasta 2050» (The Distance to 2050); capítulo 16, «Antes del uso: ficha y Mandato» (Before Use: Worksheet and Mandate); Epílogo, «Lo que no delegamos» (What We Do Not Delegate).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Estudiar la tecnología y utilizarla cuando mejora la vida. Preservar espacios en los que las decisiones humanas puedan fijar límites a su uso, incluido el rechazo, y corregir sus efectos.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Capacidad, confiabilidad y autoridad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Introducción, «La distancia hasta 2050» (The Distance to 2050); Interludio I, «Los tres estados de la respuesta» (The Three Answer States); capítulo 1, «Cómo aprenden las máquinas a partir de ejemplos» (How Machines Learn from Examples); capítulo 4, «Dónde recae la responsabilidad» (Where Responsibility Falls); capítulo 7, «Lo que el gemelo no puede hacer» (What the Twin Cannot Do), «Cuatro modalidades de delegación» (Four Modes of Delegation); capítulo 8, «Cuidar sin deshumanizar» (Caring Without Dehumanizing), «Diagnóstico aumentado y riesgo de confundir precisión con verdad» (Augmented Diagnosis and the Risk of Mistaking Precision for Truth); capítulo 12, «Derechos en la era de la predicción» (Rights in the Age of Prediction); capítulo 16, «Antes del uso: ficha y Mandato» (Before Use: Worksheet and Mandate); Apéndice, Herramientas para el lector, «Mapa de los tres vocabularios» (Map of the Three Vocabularies).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Poder hacer algo, lograrlo en condiciones reales y estar autorizado para actuar son propiedades distintas.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La Prueba 2050 y los tres vocabularios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Interludio I, «Siete preguntas antes de delegar» (Seven Questions Before Delegating), «Los tres estados de la respuesta» (The Three Answer States); capítulo 7, «Cuatro modalidades de delegación» (Four Modes of Delegation); Interludio II, «El costo del control» (The Cost of Control); capítulo 16, «Antes del uso: ficha y Mandato» (Before Use: Worksheet and Mandate); Apéndice, Herramientas para el lector, «Las siete preguntas de la Prueba 2050» (The Seven Questions of the 2050 Test), «Cuándo una respuesta es Suficiente y cuándo es Bloqueante» (When an Answer Is Sufficient, and When It Blocks), «La regla de decisión» (The Decision Rule), «La ficha mínima» (The Minimum Worksheet).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Las siete preguntas, el estado de la respuesta y la decisión organizativa permanecen separados y no producen un promedio compensatorio.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Identidad, minimización de la prueba y portabilidad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2, «Demostrar lo suficiente, no todo» (Proving Enough, Not Everything), «La credencial verificable» (The Verifiable Credential), «Trasladar y recuperar pruebas» (Moving and Recovering Evidence); capítulo 3, «El día en que el mundo se detiene sin hacer ruido» (The Day the World Stops Without a Sound); capítulo 16, «Continuidad cuando un sistema cierra» (Continuity When a System Closes); Apéndice, Herramientas para el lector, «Las siete preguntas de la Prueba 2050» (The Seven Questions of the 2050 Test).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Demostrar solo lo necesario sin entregar a la persona ni transferirle todo el riesgo de recuperación y salida.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Infraestructura, continuidad y prueba de salida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3, «El día en que el mundo se detiene sin hacer ruido» (The Day the World Stops Without a Sound); capítulo 14, «La infraestructura detrás del contrato» (The Infrastructure Behind the Contract); capítulo 16, «Continuidad cuando un sistema cierra» (Continuity When a System Closes); Apéndice, Herramientas para el lector, «Las siete preguntas de la Prueba 2050» (The Seven Questions of the 2050 Test).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Los servicios en la nube, las redes, las API, los contratos y la competencia residual se vuelven gobernables cuando se prueban la continuidad reducida y la sustitución.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Trabajo, competencia y formación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4, «El gran cambio: de las tareas a las responsabilidades» (The Great Shift: From Tasks to Responsibilities); capítulo 6, «De transferir conocimiento a cultivar el juicio» (From Transferring Knowledge to Cultivating Judgment); capítulo 7, «Lo que el gemelo no puede hacer» (What the Twin Cannot Do); capítulo 10, «Aquí hubo una persona» (A Person Was Here); capítulo 16, «Antes del uso: ficha y Mandato» (Before Use: Worksheet and Mandate).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La automatización comprime tareas. El aprendizaje práctico mantiene el juicio practicable cuando los trabajadores tienen tiempo para ejercerlo y autoridad sobre el resultado.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Mandato, Recurso y supervisión efectiva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4, «Dónde recae la responsabilidad» (Where Responsibility Falls); capítulo 5, «El Mandato de la mirada pública» (The Mandate of the Public Gaze); capítulo 7, «Dónde debe detenerse el Mandato» (Where the Mandate Must Stop); capítulo 8, «Diagnóstico aumentado y riesgo de confundir precisión con verdad» (Augmented Diagnosis and the Risk of Mistaking Precision for Truth); capítulo 12, «Derechos en la era de la predicción» (Rights in the Age of Prediction); capítulo 16, «Cuando algo se desvía: incidente y Recurso» (When Something Goes Off Course: Incident and Redress); Interludio I, «Siete preguntas antes de delegar» (Seven Questions Before Delegating); Interludio II, «El costo del control» (The Cost of Control).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Una persona importa en el proceso cuando dispone de evidencia, tiempo y poder para suspender, corregir y obtener un resultado motivado.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Cuidado, incertidumbre y dignidad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8, «Cuidar sin deshumanizar» (Caring Without Dehumanizing), «El cuidado al final de la vida» (Care at the End of Life); capítulo 11, «El amigo que nunca duerme» (The Friend Who Never Sleeps); capítulo 15, «Los muertos que nunca se van» (The Dead Who Never Leave).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El error técnico, la incertidumbre clínica, el conflicto de valores, la presencia y la despedida requieren respuestas diferentes.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Verdad pública, procedencia y fatiga epistémica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9, «Reconstruir la confianza pública» (Rebuilding Public Trust); capítulo 10, «Las fuentes creativas y su uso» (Creative Sources and Their Use); Apéndice, Herramientas para el lector, «Glosario esencial» (Essential Glossary).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Reconstruir el origen y las transformaciones ayuda a verificar, pero la confianza pública también depende del costo humano e institucional de impugnar una afirmación.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Autoría, firma y nueva escasez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10, «De la generación a una obra» (From Generation to a Work), «Aquí hubo una persona» (A Person Was Here); capítulo 9, «Reconstruir la confianza pública» (Rebuilding Public Trust).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La procedencia, la declaración de las herramientas y la firma distribuyen historia, transparencia y responsabilidad sin atribuir automáticamente valor a una obra.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Apego, menores y asimetría relacional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11, «El amigo que nunca duerme» (The Friend Who Never Sleeps), «La asimetría» (The Asymmetry), «El modelo de negocio del afecto» (The Business Model of Affection); capítulo 15, «Los muertos que nunca se van» (The Dead Who Never Leave); capítulo 16, «Cuando la respuesta es no adoptar» (Deciding Against Adoption).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El consuelo puede convertirse en puente o jaula según la memoria, los incentivos, la libertad de detenerse y la apertura a otras relaciones.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Privacidad, elaboración de perfiles e intervalos no medidos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5, «El Mandato de la mirada pública» (The Mandate of the Public Gaze); capítulo 12, «Cuando el sesgo entra en el sistema» (When Bias Enters the System), «Derechos en la era de la predicción» (Rights in the Age of Prediction); capítulo 11, «El modelo de negocio del afecto» (The Business Model of Affection).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Proteger no autoriza automáticamente a mandar, y una persona debe poder cambiar sin producir de inmediato un perfil operativo.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Costo del control, daño residual y capacidad organizativa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7, «El protocolo de prueba» (The Testing Protocol); capítulo 8, «Diagnóstico aumentado y riesgo de confundir precisión con verdad» (Augmented Diagnosis and the Risk of Mistaking Precision for Truth); capítulo 14, «El mantenimiento decide quién conserva la voz» (Maintenance Determines Who Keeps a Voice); Interludio II, «El costo del control» (The Cost of Control), «El daño que permanece» (The Harm That Remains); Apéndice, Herramientas para el lector, «Las siete preguntas de la Prueba 2050» (The Seven Questions of the 2050 Test).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La verificación requiere tiempo y competencia sin prometer riesgo cero. Debe dejar un registro que permita reconstruir y reparar, con una vía para restringir el sistema.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Sostenibilidad material y justicia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3, «El día en que el mundo se detiene sin hacer ruido» (The Day the World Stops Without a Sound); capítulo 13, «La cadena de suministro oculta: minas, fábricas, logística y residuos» (The Hidden Supply Chain: Mines, Factories, Logistics, and Waste), «El agua y el territorio alrededor del centro de datos» (Water and Land Around the Data Center), «Una nueva idea de progreso» (A New Idea of Progress); capítulo 14, «Cooperación a través de las fronteras» (Cooperation Across Borders).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Energía, agua, minerales, equipos, trabajo y residuos forman una cadena de decisiones, no un costo abstracto.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Dependencia estratégica, mantenimiento y voz infraestructural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3, «El día en que el mundo se detiene sin hacer ruido» (The Day the World Stops Without a Sound); capítulo 14, «El mantenimiento decide quién conserva la voz» (Maintenance Determines Who Keeps a Voice), «La infraestructura detrás del contrato» (The Infrastructure Behind the Contract).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La autonomía relativa crece a partir de alternativas, competencia local, estándares y facultades concretas para suspender, corregir y exportar.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Desigualdad y acceso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Interludio I, «4. Distribución: ¿quién se beneficia, quién paga y quién puede objetar?» (4. Distribution—Who Benefits, Who Pays, and Who Can Object?); capítulo 4, «Dónde recae la responsabilidad» (Where Responsibility Falls); capítulo 5, «La ciudad como pacto cívico» (The City as a Civic Compact); capítulo 6, «El juicio más allá de la herramienta» (Judgment Beyond the Tool); capítulo 8, «Cuidar sin deshumanizar» (Caring Without Dehumanizing); capítulo 12, «Derechos en la era de la predicción» (Rights in the Age of Prediction); capítulo 13, «Una nueva idea de progreso» (A New Idea of Progress); capítulo 14, «Autonomía dentro de la interdependencia» (Autonomy Within Interdependence).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Los beneficios, las esperas, las protecciones y los costos cambian con los ingresos, el territorio, la capacidad administrativa y el acceso a un recurso.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Memoria, archivo, simulación y olvido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15, «Los muertos que nunca se van» (The Dead Who Never Leave), «Hablar con quienes ya no están» (Talking to Those Who Are Gone), «El derecho a desaparecer» (The Right to Disappear), «La memoria no es un archivo» (Memory Is Not an Archive); capítulo 11, «El amigo que nunca duerme» (The Friend Who Never Sleeps); capítulo 12, «Derechos en la era de la predicción» (Rights in the Age of Prediction); Epílogo, «Lo que no delegamos» (What We Do Not Delegate).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Conservar rastros, organizar un memorial y generar palabras nuevas son actos diferentes, con Mandatos y derechos distintos.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Ciclo de vida, monitoreo y salida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7, «El protocolo de prueba» (The Testing Protocol); capítulo 16, «Antes del uso: ficha y Mandato» (Before Use: Worksheet and Mandate), «Durante el uso: registro y supervisión» (During Use: Log and Oversight), «Cuando algo se desvía: incidente y Recurso» (When Something Goes Off Course: Incident and Redress), «Continuidad cuando un sistema cierra» (Continuity When a System Closes); Apéndice, Herramientas para el lector, «Las siete preguntas de la Prueba 2050» (The Seven Questions of the 2050 Test), «La ficha mínima» (The Minimum Worksheet), «Ejemplo condensado: Davide, 15 de octubre de 2050, y seguimiento» (Condensed Example: Davide, October 15, 2050, and Follow-up).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La ficha, el registro, el incidente, el Recurso, la prueba de salida y la revisión mantienen observable el Mandato cuando cambian el modelo, los datos, la escala o las personas responsables.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No delegar, costo de decir no y reapertura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16, «Cuando la respuesta es no adoptar» (Deciding Against Adoption), «El costo del no y la reapertura» (The Costs of Refusal and Reconsideration); Epílogo, «Lo que no delegamos» (What We Do Not Delegate); Apéndice, Herramientas para el lector, «Ejemplo condensado: Davide, 15 de octubre de 2050, y seguimiento» (Condensed Example: Davide, October 15, 2050, and Follow-up).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La negativa registra protecciones y costos mientras conserva una alternativa. Una nueva prueba puede reabrir la decisión sin borrar el primer juicio.</w:t>
      </w:r>
    </w:p>
    <w:sectPr>
      <w:headerReference w:type="default" r:id="rId9"/>
      <w:footerReference w:type="default" r:id="rId10"/>
      <w:footerReference w:type="first" r:id="rId11"/>
      <w:headerReference w:type="first" r:id="rId14"/>
      <w:pgSz w:w="11905" w:h="16838"/>
      <w:pgMar w:top="1008" w:right="1008" w:bottom="1008" w:left="1008" w:header="432" w:footer="432" w:gutter="0"/>
      <w:cols w:space="720"/>
      <w:titlePg/>
      <w:docGrid w:linePitch="3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EB Garamond">
    <w:altName w:val="Garamond"/>
    <w:charset w:val="00"/>
    <w:family w:val="auto"/>
    <w:pitch w:val="variable"/>
    <w:sig w:usb0="E00002FF" w:usb1="02000413" w:usb2="00000000" w:usb3="00000000" w:csb0="0000019F" w:csb1="00000000"/>
    <w:embedRegular r:id="rId1" w:fontKey="{8803E84C-4695-4705-838C-D4FC599F85E4}"/>
    <w:embedBold r:id="rId2" w:fontKey="{34828F21-0C39-43B1-A4DE-E08636D6C3A3}"/>
    <w:embedItalic r:id="rId3" w:fontKey="{16841129-51C1-4C09-BE4D-4D07B4C2C00A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20" w:val="left"/>
      </w:tabs>
      <w:spacing w:before="0" w:after="0" w:line="200" w:lineRule="exact"/>
    </w:pPr>
    <w:r>
      <w:rPr>
        <w:rFonts w:ascii="EB Garamond" w:hAnsi="EB Garamond" w:eastAsia="EB Garamond" w:cs="EB Garamond"/>
        <w:color w:val="65757D"/>
        <w:sz w:val="16"/>
        <w:szCs w:val="16"/>
      </w:rPr>
      <w:t>2050 - ES-INTL-R2.3 - Instantánea documental de julio de 2026</w:t>
    </w:r>
    <w:r>
      <w:tab/>
      <w:rPr>
        <w:rFonts w:ascii="EB Garamond" w:hAnsi="EB Garamond" w:eastAsia="EB Garamond" w:cs="EB Garamond"/>
        <w:sz w:val="16"/>
        <w:szCs w:val="16"/>
        <w:color w:val="65757D"/>
      </w:rPr>
    </w:r>
    <w:r>
      <w:rPr>
        <w:rFonts w:ascii="EB Garamond" w:hAnsi="EB Garamond" w:eastAsia="EB Garamond" w:cs="EB Garamond"/>
        <w:color w:val="65757D"/>
        <w:sz w:val="16"/>
        <w:szCs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spacing w:line="200" w:lineRule="exact"/>
    </w:pPr>
    <w:r>
      <w:rPr>
        <w:rFonts w:ascii="EB Garamond" w:hAnsi="EB Garamond" w:eastAsia="EB Garamond" w:cs="EB Garamond"/>
        <w:color w:val="65757D"/>
        <w:sz w:val="16"/>
        <w:szCs w:val="16"/>
      </w:rPr>
      <w:t>https://www.corneritaliano.com/es/2050/recursos/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00" w:lineRule="exact"/>
      <w:jc w:val="left"/>
    </w:pPr>
    <w:r>
      <w:rPr>
        <w:rFonts w:ascii="EB Garamond" w:hAnsi="EB Garamond" w:eastAsia="EB Garamond" w:cs="EB Garamond"/>
        <w:b/>
        <w:color w:val="65757D"/>
        <w:sz w:val="16"/>
        <w:szCs w:val="16"/>
      </w:rPr>
      <w:t xml:space="preserve">2050  |  RECURSOS OFICIALES  |  Mapa temático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EB Garamond" w:hAnsi="EB Garamond" w:eastAsia="EB Garamond" w:cs="EB Garamond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EB Garamond" w:hAnsi="EB Garamond" w:eastAsia="EB Garamond" w:cs="EB Garamond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EB Garamond" w:hAnsi="EB Garamond" w:eastAsia="EB Garamond" w:cs="EB Garamond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EB Garamond" w:hAnsi="EB Garamond" w:eastAsia="EB Garamond" w:cs="EB Garamond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  <w:saveSubset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EB Garamond" w:hAnsi="EB Garamond" w:eastAsia="EB Garamond" w:cs="EB Garamond"/>
        <w:sz w:val="21"/>
        <w:szCs w:val="21"/>
        <w:lang w:val="es" w:eastAsia="es" w:bidi="ar-SA"/>
        <w:color w:val="1F2D33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00" w:line="270" w:lineRule="exact"/>
    </w:pPr>
    <w:rPr>
      <w:rFonts w:ascii="EB Garamond" w:hAnsi="EB Garamond" w:eastAsia="EB Garamond" w:cs="EB Garamond"/>
      <w:color w:val="1F2D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EB Garamond" w:hAnsi="EB Garamond" w:eastAsia="EB Garamond" w:cs="EB Garamond"/>
      <w:sz w:val="16"/>
      <w:szCs w:val="16"/>
      <w:color w:val="65757D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EB Garamond" w:hAnsi="EB Garamond" w:eastAsia="EB Garamond" w:cs="EB Garamond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EB Garamond" w:hAnsi="EB Garamond" w:eastAsia="EB Garamond" w:cs="EB Garamond"/>
      <w:sz w:val="16"/>
      <w:szCs w:val="16"/>
      <w:color w:val="65757D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EB Garamond" w:hAnsi="EB Garamond" w:eastAsia="EB Garamond" w:cs="EB Garamond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EB Garamond" w:hAnsi="EB Garamond" w:eastAsia="EB Garamond" w:cs="EB Garamond"/>
      <w:b/>
      <w:bCs/>
      <w:color w:val="183445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EB Garamond" w:hAnsi="EB Garamond" w:eastAsia="EB Garamond" w:cs="EB Garamond"/>
      <w:b/>
      <w:bCs/>
      <w:color w:val="B04A35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EB Garamond" w:hAnsi="EB Garamond" w:eastAsia="EB Garamond" w:cs="EB Garamond"/>
      <w:b/>
      <w:bCs/>
      <w:color w:val="183445"/>
      <w:sz w:val="23"/>
      <w:szCs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EB Garamond" w:hAnsi="EB Garamond" w:eastAsia="EB Garamond" w:cs="EB Garamond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EB Garamond" w:hAnsi="EB Garamond" w:eastAsia="EB Garamond" w:cs="EB Garamond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EB Garamond" w:hAnsi="EB Garamond" w:eastAsia="EB Garamond" w:cs="EB Garamond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EB Garamond" w:hAnsi="EB Garamond" w:eastAsia="EB Garamond" w:cs="EB Garamond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EB Garamond" w:hAnsi="EB Garamond" w:eastAsia="EB Garamond" w:cs="EB Garamond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EB Garamond" w:hAnsi="EB Garamond" w:eastAsia="EB Garamond" w:cs="EB Garamond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EB Garamond" w:hAnsi="EB Garamond" w:eastAsia="EB Garamond" w:cs="EB Garamond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rPr>
      <w:rFonts w:ascii="EB Garamond" w:hAnsi="EB Garamond" w:eastAsia="EB Garamond" w:cs="EB Garamond"/>
    </w:rPr>
  </w:style>
  <w:style w:type="numbering" w:default="1" w:styleId="NoList">
    <w:name w:val="No List"/>
    <w:uiPriority w:val="99"/>
    <w:semiHidden/>
    <w:unhideWhenUsed/>
    <w:rPr>
      <w:rFonts w:ascii="EB Garamond" w:hAnsi="EB Garamond" w:eastAsia="EB Garamond" w:cs="EB Garamond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EB Garamond" w:hAnsi="EB Garamond" w:eastAsia="EB Garamond" w:cs="EB Garamond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EB Garamond" w:hAnsi="EB Garamond" w:eastAsia="EB Garamond" w:cs="EB Garamond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EB Garamond" w:hAnsi="EB Garamond" w:eastAsia="EB Garamond" w:cs="EB Garamond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EB Garamond" w:hAnsi="EB Garamond" w:eastAsia="EB Garamond" w:cs="EB Garamond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="EB Garamond" w:hAnsi="EB Garamond" w:eastAsia="EB Garamond" w:cs="EB Garamond"/>
      <w:b/>
      <w:color w:val="183445"/>
      <w:spacing w:val="5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EB Garamond" w:hAnsi="EB Garamond" w:eastAsia="EB Garamond" w:cs="EB Garamond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40"/>
    </w:pPr>
    <w:rPr>
      <w:rFonts w:ascii="EB Garamond" w:hAnsi="EB Garamond" w:eastAsia="EB Garamond" w:cs="EB Garamond"/>
      <w:b w:val="0"/>
      <w:i/>
      <w:iCs/>
      <w:color w:val="5A686F"/>
      <w:spacing w:val="15"/>
      <w:sz w:val="26"/>
      <w:szCs w:val="26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EB Garamond" w:hAnsi="EB Garamond" w:eastAsia="EB Garamond" w:cs="EB Garamond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EB Garamond" w:hAnsi="EB Garamond" w:eastAsia="EB Garamond" w:cs="EB Garamond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EB Garamond" w:hAnsi="EB Garamond" w:eastAsia="EB Garamond" w:cs="EB Garamond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EB Garamond" w:hAnsi="EB Garamond" w:eastAsia="EB Garamond" w:cs="EB Garamond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EB Garamond" w:hAnsi="EB Garamond" w:eastAsia="EB Garamond" w:cs="EB Garamond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EB Garamond" w:hAnsi="EB Garamond" w:eastAsia="EB Garamond" w:cs="EB Garamond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rFonts w:ascii="EB Garamond" w:hAnsi="EB Garamond" w:eastAsia="EB Garamond" w:cs="EB Garamond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  <w:rFonts w:ascii="EB Garamond" w:hAnsi="EB Garamond" w:eastAsia="EB Garamond" w:cs="EB Garamond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EB Garamond" w:hAnsi="EB Garamond" w:eastAsia="EB Garamond" w:cs="EB Garamond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EB Garamond" w:hAnsi="EB Garamond" w:eastAsia="EB Garamond" w:cs="EB Garamond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EB Garamond" w:hAnsi="EB Garamond" w:eastAsia="EB Garamond" w:cs="EB Garamond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EB Garamond" w:hAnsi="EB Garamond" w:eastAsia="EB Garamond" w:cs="EB Garamond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EB Garamond" w:hAnsi="EB Garamond" w:eastAsia="EB Garamond" w:cs="EB Garamond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EB Garamond" w:hAnsi="EB Garamond" w:eastAsia="EB Garamond" w:cs="EB Garamond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EB Garamond" w:hAnsi="EB Garamond" w:eastAsia="EB Garamond" w:cs="EB Garamond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EB Garamond" w:hAnsi="EB Garamond" w:eastAsia="EB Garamond" w:cs="EB Garamond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EB Garamond" w:hAnsi="EB Garamond" w:eastAsia="EB Garamond" w:cs="EB Garamond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EB Garamond" w:hAnsi="EB Garamond" w:eastAsia="EB Garamond" w:cs="EB Garamond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EB Garamond" w:hAnsi="EB Garamond" w:eastAsia="EB Garamond" w:cs="EB Garamond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EB Garamond" w:hAnsi="EB Garamond" w:eastAsia="EB Garamond" w:cs="EB Garamond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EB Garamond" w:hAnsi="EB Garamond" w:eastAsia="EB Garamond" w:cs="EB Garamond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EB Garamond" w:hAnsi="EB Garamond" w:eastAsia="EB Garamond" w:cs="EB Garamond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  <w:rFonts w:ascii="EB Garamond" w:hAnsi="EB Garamond" w:eastAsia="EB Garamond" w:cs="EB Garamond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  <w:rFonts w:ascii="EB Garamond" w:hAnsi="EB Garamond" w:eastAsia="EB Garamond" w:cs="EB Garamon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EB Garamond" w:hAnsi="EB Garamond" w:eastAsia="EB Garamond" w:cs="EB Garamond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EB Garamond" w:hAnsi="EB Garamond" w:eastAsia="EB Garamond" w:cs="EB Garamond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EB Garamond" w:hAnsi="EB Garamond" w:eastAsia="EB Garamond" w:cs="EB Garamond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EB Garamond" w:hAnsi="EB Garamond" w:eastAsia="EB Garamond" w:cs="EB Garamond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EB Garamond" w:hAnsi="EB Garamond" w:eastAsia="EB Garamond" w:cs="EB Garamond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EB Garamond" w:hAnsi="EB Garamond" w:eastAsia="EB Garamond" w:cs="EB Garamond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  <w:rFonts w:ascii="EB Garamond" w:hAnsi="EB Garamond" w:eastAsia="EB Garamond" w:cs="EB Garamond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rFonts w:ascii="EB Garamond" w:hAnsi="EB Garamond" w:eastAsia="EB Garamond" w:cs="EB Garamond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rFonts w:ascii="EB Garamond" w:hAnsi="EB Garamond" w:eastAsia="EB Garamond" w:cs="EB Garamon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  <w:rFonts w:ascii="EB Garamond" w:hAnsi="EB Garamond" w:eastAsia="EB Garamond" w:cs="EB Garamon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  <w:rFonts w:ascii="EB Garamond" w:hAnsi="EB Garamond" w:eastAsia="EB Garamond" w:cs="EB Garamon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  <w:rFonts w:ascii="EB Garamond" w:hAnsi="EB Garamond" w:eastAsia="EB Garamond" w:cs="EB Garamond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  <w:rFonts w:ascii="EB Garamond" w:hAnsi="EB Garamond" w:eastAsia="EB Garamond" w:cs="EB Garamon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  <w:rFonts w:ascii="EB Garamond" w:hAnsi="EB Garamond" w:eastAsia="EB Garamond" w:cs="EB Garamond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  <w:rFonts w:ascii="EB Garamond" w:hAnsi="EB Garamond" w:eastAsia="EB Garamond" w:cs="EB Garamond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rFonts w:ascii="EB Garamond" w:hAnsi="EB Garamond" w:eastAsia="EB Garamond" w:cs="EB Garamon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EB Garamond" w:hAnsi="EB Garamond" w:eastAsia="EB Garamond" w:cs="EB Garamond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rPr>
      <w:rFonts w:ascii="EB Garamond" w:hAnsi="EB Garamond" w:eastAsia="EB Garamond" w:cs="EB Garamond"/>
    </w:r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rPr>
      <w:rFonts w:ascii="EB Garamond" w:hAnsi="EB Garamond" w:eastAsia="EB Garamond" w:cs="EB Garamond"/>
    </w:r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rPr>
      <w:rFonts w:ascii="EB Garamond" w:hAnsi="EB Garamond" w:eastAsia="EB Garamond" w:cs="EB Garamond"/>
    </w:r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rPr>
      <w:rFonts w:ascii="EB Garamond" w:hAnsi="EB Garamond" w:eastAsia="EB Garamond" w:cs="EB Garamond"/>
    </w:r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rPr>
      <w:rFonts w:ascii="EB Garamond" w:hAnsi="EB Garamond" w:eastAsia="EB Garamond" w:cs="EB Garamond"/>
    </w:r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rPr>
      <w:rFonts w:ascii="EB Garamond" w:hAnsi="EB Garamond" w:eastAsia="EB Garamond" w:cs="EB Garamond"/>
    </w:r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rPr>
      <w:rFonts w:ascii="EB Garamond" w:hAnsi="EB Garamond" w:eastAsia="EB Garamond" w:cs="EB Garamond"/>
    </w:r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rPr>
      <w:rFonts w:ascii="EB Garamond" w:hAnsi="EB Garamond" w:eastAsia="EB Garamond" w:cs="EB Garamond"/>
    </w:r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rPr>
      <w:rFonts w:ascii="EB Garamond" w:hAnsi="EB Garamond" w:eastAsia="EB Garamond" w:cs="EB Garamond"/>
    </w:r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rPr>
      <w:rFonts w:ascii="EB Garamond" w:hAnsi="EB Garamond" w:eastAsia="EB Garamond" w:cs="EB Garamond"/>
    </w:r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rPr>
      <w:rFonts w:ascii="EB Garamond" w:hAnsi="EB Garamond" w:eastAsia="EB Garamond" w:cs="EB Garamond"/>
    </w:r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rPr>
      <w:rFonts w:ascii="EB Garamond" w:hAnsi="EB Garamond" w:eastAsia="EB Garamond" w:cs="EB Garamond"/>
    </w:r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rPr>
      <w:rFonts w:ascii="EB Garamond" w:hAnsi="EB Garamond" w:eastAsia="EB Garamond" w:cs="EB Garamond"/>
    </w:r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rPr>
      <w:rFonts w:ascii="EB Garamond" w:hAnsi="EB Garamond" w:eastAsia="EB Garamond" w:cs="EB Garamond"/>
    </w:r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rPr>
      <w:rFonts w:ascii="EB Garamond" w:hAnsi="EB Garamond" w:eastAsia="EB Garamond" w:cs="EB Garamond"/>
    </w:r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rPr>
      <w:rFonts w:ascii="EB Garamond" w:hAnsi="EB Garamond" w:eastAsia="EB Garamond" w:cs="EB Garamond"/>
    </w:r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rPr>
      <w:rFonts w:ascii="EB Garamond" w:hAnsi="EB Garamond" w:eastAsia="EB Garamond" w:cs="EB Garamond"/>
    </w:r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rPr>
      <w:rFonts w:ascii="EB Garamond" w:hAnsi="EB Garamond" w:eastAsia="EB Garamond" w:cs="EB Garamond"/>
    </w:r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rPr>
      <w:rFonts w:ascii="EB Garamond" w:hAnsi="EB Garamond" w:eastAsia="EB Garamond" w:cs="EB Garamond"/>
    </w:r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rPr>
      <w:rFonts w:ascii="EB Garamond" w:hAnsi="EB Garamond" w:eastAsia="EB Garamond" w:cs="EB Garamond"/>
    </w:r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rPr>
      <w:rFonts w:ascii="EB Garamond" w:hAnsi="EB Garamond" w:eastAsia="EB Garamond" w:cs="EB Garamond"/>
    </w:r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rPr>
      <w:rFonts w:ascii="EB Garamond" w:hAnsi="EB Garamond" w:eastAsia="EB Garamond" w:cs="EB Garamond"/>
    </w:r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  <w:rPr>
      <w:rFonts w:ascii="EB Garamond" w:hAnsi="EB Garamond" w:eastAsia="EB Garamond" w:cs="EB Garamond"/>
    </w:r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  <w:rPr>
      <w:rFonts w:ascii="EB Garamond" w:hAnsi="EB Garamond" w:eastAsia="EB Garamond" w:cs="EB Garamond"/>
    </w:r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  <w:rPr>
      <w:rFonts w:ascii="EB Garamond" w:hAnsi="EB Garamond" w:eastAsia="EB Garamond" w:cs="EB Garamond"/>
    </w:r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  <w:rPr>
      <w:rFonts w:ascii="EB Garamond" w:hAnsi="EB Garamond" w:eastAsia="EB Garamond" w:cs="EB Garamond"/>
    </w:r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  <w:rPr>
      <w:rFonts w:ascii="EB Garamond" w:hAnsi="EB Garamond" w:eastAsia="EB Garamond" w:cs="EB Garamond"/>
    </w:r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  <w:rPr>
      <w:rFonts w:ascii="EB Garamond" w:hAnsi="EB Garamond" w:eastAsia="EB Garamond" w:cs="EB Garamond"/>
    </w:r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  <w:rPr>
      <w:rFonts w:ascii="EB Garamond" w:hAnsi="EB Garamond" w:eastAsia="EB Garamond" w:cs="EB Garamond"/>
    </w:r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EB Garamond" w:hAnsi="EB Garamond" w:eastAsia="EB Garamond" w:cs="EB Garamond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EB Garamond" w:hAnsi="EB Garamond" w:eastAsia="EB Garamond" w:cs="EB Garamond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EB Garamond" w:hAnsi="EB Garamond" w:eastAsia="EB Garamond" w:cs="EB Garamond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EB Garamond" w:hAnsi="EB Garamond" w:eastAsia="EB Garamond" w:cs="EB Garamond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EB Garamond" w:hAnsi="EB Garamond" w:eastAsia="EB Garamond" w:cs="EB Garamond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EB Garamond" w:hAnsi="EB Garamond" w:eastAsia="EB Garamond" w:cs="EB Garamond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EB Garamond" w:hAnsi="EB Garamond" w:eastAsia="EB Garamond" w:cs="EB Garamond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EB Garamond" w:hAnsi="EB Garamond" w:eastAsia="EB Garamond" w:cs="EB Garamond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EB Garamond" w:hAnsi="EB Garamond" w:eastAsia="EB Garamond" w:cs="EB Garamond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EB Garamond" w:hAnsi="EB Garamond" w:eastAsia="EB Garamond" w:cs="EB Garamond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EB Garamond" w:hAnsi="EB Garamond" w:eastAsia="EB Garamond" w:cs="EB Garamond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EB Garamond" w:hAnsi="EB Garamond" w:eastAsia="EB Garamond" w:cs="EB Garamond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EB Garamond" w:hAnsi="EB Garamond" w:eastAsia="EB Garamond" w:cs="EB Garamond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EB Garamond" w:hAnsi="EB Garamond" w:eastAsia="EB Garamond" w:cs="EB Garamond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EB Garamond" w:hAnsi="EB Garamond" w:eastAsia="EB Garamond" w:cs="EB Garamond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EB Garamond" w:hAnsi="EB Garamond" w:eastAsia="EB Garamond" w:cs="EB Garamond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EB Garamond" w:hAnsi="EB Garamond" w:eastAsia="EB Garamond" w:cs="EB Garamond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EB Garamond" w:hAnsi="EB Garamond" w:eastAsia="EB Garamond" w:cs="EB Garamond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EB Garamond" w:hAnsi="EB Garamond" w:eastAsia="EB Garamond" w:cs="EB Garamond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EB Garamond" w:hAnsi="EB Garamond" w:eastAsia="EB Garamond" w:cs="EB Garamond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EB Garamond" w:hAnsi="EB Garamond" w:eastAsia="EB Garamond" w:cs="EB Garamond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EB Garamond" w:hAnsi="EB Garamond" w:eastAsia="EB Garamond" w:cs="EB Garamond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EB Garamond" w:hAnsi="EB Garamond" w:eastAsia="EB Garamond" w:cs="EB Garamond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EB Garamond" w:hAnsi="EB Garamond" w:eastAsia="EB Garamond" w:cs="EB Garamond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EB Garamond" w:hAnsi="EB Garamond" w:eastAsia="EB Garamond" w:cs="EB Garamond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image" Target="media/image1.png"/><Relationship Id="rId13" Type="http://schemas.openxmlformats.org/officeDocument/2006/relationships/hyperlink" Target="https://www.corneritaliano.com/es/2050/recursos/" TargetMode="External"/><Relationship Id="rId14" Type="http://schemas.openxmlformats.org/officeDocument/2006/relationships/header" Target="header2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EBGaramond-Regular.odttf"/><Relationship Id="rId2" Type="http://schemas.openxmlformats.org/officeDocument/2006/relationships/font" Target="fonts/EBGaramond-Bold.odttf"/><Relationship Id="rId3" Type="http://schemas.openxmlformats.org/officeDocument/2006/relationships/font" Target="fonts/EBGaramond-Italic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EB Garamond"/>
        <a:ea typeface="EB Garamond"/>
        <a:cs typeface="EB Garamond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EB Garamond"/>
        <a:ea typeface="EB Garamond"/>
        <a:cs typeface="EB Garamond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Mapa temático | ES-INTL-R2.3 | Español | English source V51.2</dc:title>
  <dc:subject>Mapa temático | ES-INTL-R2.3 | Español | English source V51.2</dc:subject>
  <dc:creator>Marco De Prosperis</dc:creator>
  <cp:keywords>2050, EN-US-R2.3, July 2026 documentary snapshot, revised English interior</cp:keywords>
  <dc:description>Mapa temático | ES-INTL-R2.3 | Español | English source V51.2</dc:description>
  <cp:lastModifiedBy>Corner Italiano LLC</cp:lastModifiedBy>
  <cp:revision>2</cp:revision>
  <dcterms:created xsi:type="dcterms:W3CDTF">2013-12-23T23:15:00Z</dcterms:created>
  <dcterms:modified xsi:type="dcterms:W3CDTF">2026-09-10T15:55:33Z</dcterms:modified>
  <cp:category/>
  <dc:language>es</dc:language>
</cp:coreProperties>
</file>