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508760" cy="1005840"/>
            <wp:docPr id="1" name="Picture 1" descr="Corner Italiano editorial logo" title="Corner Italian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ner-italiano-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005840"/>
                    </a:xfrm>
                    <a:prstGeom prst="rect"/>
                  </pic:spPr>
                </pic:pic>
              </a:graphicData>
            </a:graphic>
          </wp:inline>
        </w:drawing>
        <w:rPr>
          <w:rFonts w:ascii="EB Garamond" w:hAnsi="EB Garamond" w:eastAsia="EB Garamond" w:cs="EB Garamond"/>
          <w:sz w:val="21"/>
          <w:szCs w:val="21"/>
        </w:rPr>
      </w:r>
    </w:p>
    <w:p>
      <w:pPr>
        <w:spacing w:before="520" w:after="16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CORNER ITALIANO  |  RECURSOS OFICIALES</w:t>
      </w:r>
    </w:p>
    <w:p>
      <w:pPr>
        <w:pStyle w:val="Title"/>
        <w:jc w:val="center"/>
        <w:spacing w:line="640" w:lineRule="exact"/>
      </w:pPr>
      <w:r>
        <w:rPr>
          <w:rFonts w:ascii="EB Garamond" w:hAnsi="EB Garamond" w:eastAsia="EB Garamond" w:cs="EB Garamond"/>
          <w:b/>
          <w:color w:val="183445"/>
          <w:sz w:val="56"/>
          <w:szCs w:val="56"/>
        </w:rPr>
        <w:t xml:space="preserve">Mapa temático</w:t>
      </w:r>
    </w:p>
    <w:p>
      <w:pPr>
        <w:pStyle w:val="Subtitle"/>
        <w:jc w:val="center"/>
        <w:spacing w:line="320" w:lineRule="exact"/>
      </w:pPr>
      <w:r>
        <w:rPr>
          <w:rFonts w:ascii="EB Garamond" w:hAnsi="EB Garamond" w:eastAsia="EB Garamond" w:cs="EB Garamond"/>
          <w:color w:val="5A686F"/>
          <w:sz w:val="26"/>
          <w:szCs w:val="26"/>
        </w:rPr>
        <w:t xml:space="preserve">Dónde encontrar las preguntas centrales del libro</w:t>
      </w:r>
    </w:p>
    <w:p>
      <w:pPr>
        <w:spacing w:before="44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ÍNDICE DE LECTURA TEMÁTICO</w:t>
      </w:r>
    </w:p>
    <w:p>
      <w:pPr>
        <w:jc w:val="center"/>
        <w:spacing w:line="270" w:lineRule="exact"/>
      </w:pPr>
      <w:r>
        <w:rPr>
          <w:rFonts w:ascii="EB Garamond" w:hAnsi="EB Garamond" w:eastAsia="EB Garamond" w:cs="EB Garamond"/>
          <w:color w:val="183445"/>
          <w:sz w:val="21"/>
          <w:szCs w:val="21"/>
        </w:rPr>
        <w:t xml:space="preserve">Alineado con el interior revisado en inglés · Instantánea documental de julio de 2026 · Versión de los recursos ES-INTL-R2.3</w:t>
      </w:r>
    </w:p>
    <w:p>
      <w:pPr>
        <w:spacing w:before="360" w:line="270" w:lineRule="exact"/>
        <w:jc w:val="center"/>
      </w:pPr>
      <w:hyperlink r:id="rId13">
        <w:r>
          <w:rPr>
            <w:rFonts w:ascii="EB Garamond" w:hAnsi="EB Garamond" w:eastAsia="EB Garamond" w:cs="EB Garamond"/>
            <w:color w:val="183445"/>
            <w:u w:val="single"/>
            <w:sz w:val="21"/>
            <w:szCs w:val="21"/>
          </w:rPr>
          <w:t>https://www.corneritaliano.com/es/2050/recursos/</w:t>
        </w:r>
      </w:hyperlink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50" w:type="dxa"/>
        <w:tblBorders>
          <w:top w:val="single" w:sz="7" w:space="0" w:color="B54B2A"/>
          <w:left w:val="single" w:sz="7" w:space="0" w:color="B54B2A"/>
          <w:bottom w:val="single" w:sz="7" w:space="0" w:color="B54B2A"/>
          <w:right w:val="single" w:sz="7" w:space="0" w:color="B54B2A"/>
          <w:insideH w:val="single" w:sz="7" w:space="0" w:color="B54B2A"/>
          <w:insideV w:val="single" w:sz="7" w:space="0" w:color="B54B2A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7E7E0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40" w:line="210" w:lineRule="exact"/>
            </w:pPr>
            <w:r>
              <w:rPr>
                <w:rFonts w:ascii="EB Garamond" w:hAnsi="EB Garamond" w:eastAsia="EB Garamond" w:cs="EB Garamond"/>
                <w:color w:val="1F2D33"/>
                <w:sz w:val="17"/>
                <w:szCs w:val="17"/>
              </w:rPr>
              <w:t xml:space="preserve">ORIENTACIÓN  El libro desarrolla estas preguntas a distintas escalas. Utilice los números de capítulo y los títulos de sección para encontrar cada tema cuando cambie la paginación. Los títulos corresponden al interior revisado en inglés (2026).</w:t>
            </w:r>
          </w:p>
        </w:tc>
      </w:tr>
    </w:tbl>
    <w:p>
      <w:pPr>
        <w:spacing w:after="0"/>
      </w:pP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Esperanza adulta y límites a la delegación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Introducción, «La distancia hasta 2050» (The Distance to 2050); capítulo 16, «Antes del uso: ficha y Mandato» (Before Use: Worksheet and Mandate); Epílogo, «Lo que no delegamos» (What We Do Not Delegate).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Estudiar la tecnología y utilizarla cuando mejora la vida. Preservar espacios en los que las decisiones humanas puedan fijar límites a su uso, incluido el rechazo, y corregir sus efectos.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Capacidad, confiabilidad y autoridad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Introducción, «La distancia hasta 2050» (The Distance to 2050); Interludio I, «Los tres estados de la respuesta» (The Three Answer States); capítulo 1, «Cómo aprenden las máquinas a partir de ejemplos» (How Machines Learn from Examples); capítulo 4, «Dónde recae la responsabilidad» (Where Responsibility Falls); capítulo 7, «Lo que el gemelo no puede hacer» (What the Twin Cannot Do), «Cuatro modalidades de delegación» (Four Modes of Delegation); capítulo 8, «Cuidar sin deshumanizar» (Caring Without Dehumanizing), «Diagnóstico aumentado y riesgo de confundir precisión con verdad» (Augmented Diagnosis and the Risk of Mistaking Precision for Truth); capítulo 12, «Derechos en la era de la predicción» (Rights in the Age of Prediction); capítulo 16, «Antes del uso: ficha y Mandato» (Before Use: Worksheet and Mandate); Apéndice, Herramientas para el lector, «Mapa de los tres vocabularios» (Map of the Three Vocabularies).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Poder hacer algo, lograrlo en condiciones reales y estar autorizado para actuar son propiedades distintas.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La Prueba 2050 y los tres vocabularios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Interludio I, «Siete preguntas antes de delegar» (Seven Questions Before Delegating), «Los tres estados de la respuesta» (The Three Answer States); capítulo 7, «Cuatro modalidades de delegación» (Four Modes of Delegation); Interludio II, «El costo del control» (The Cost of Control); capítulo 16, «Antes del uso: ficha y Mandato» (Before Use: Worksheet and Mandate); Apéndice, Herramientas para el lector, «Las siete preguntas de la Prueba 2050» (The Seven Questions of the 2050 Test), «Cuándo una respuesta es Suficiente y cuándo es Bloqueante» (When an Answer Is Sufficient, and When It Blocks), «La regla de decisión» (The Decision Rule), «La ficha mínima» (The Minimum Worksheet).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Las siete preguntas, el estado de la respuesta y la decisión organizativa permanecen separados y no producen un promedio compensatorio.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Identidad, minimización de la prueba y portabilidad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2, «Demostrar lo suficiente, no todo» (Proving Enough, Not Everything), «La credencial verificable» (The Verifiable Credential), «Trasladar y recuperar pruebas» (Moving and Recovering Evidence); capítulo 3, «El día en que el mundo se detiene sin hacer ruido» (The Day the World Stops Without a Sound); capítulo 16, «Continuidad cuando un sistema cierra» (Continuity When a System Closes); Apéndice, Herramientas para el lector, «Las siete preguntas de la Prueba 2050» (The Seven Questions of the 2050 Test).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Demostrar solo lo necesario sin entregar a la persona ni transferirle todo el riesgo de recuperación y salida.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Infraestructura, continuidad y prueba de salida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3, «El día en que el mundo se detiene sin hacer ruido» (The Day the World Stops Without a Sound); capítulo 14, «La infraestructura detrás del contrato» (The Infrastructure Behind the Contract); capítulo 16, «Continuidad cuando un sistema cierra» (Continuity When a System Closes); Apéndice, Herramientas para el lector, «Las siete preguntas de la Prueba 2050» (The Seven Questions of the 2050 Test).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Los servicios en la nube, las redes, las API, los contratos y la competencia residual se vuelven gobernables cuando se prueban la continuidad reducida y la sustitución.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Trabajo, competencia y formación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4, «El gran cambio: de las tareas a las responsabilidades» (The Great Shift: From Tasks to Responsibilities); capítulo 6, «De transferir conocimiento a cultivar el juicio» (From Transferring Knowledge to Cultivating Judgment); capítulo 7, «Lo que el gemelo no puede hacer» (What the Twin Cannot Do); capítulo 10, «Aquí hubo una persona» (A Person Was Here); capítulo 16, «Antes del uso: ficha y Mandato» (Before Use: Worksheet and Mandate).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automatización comprime tareas. El aprendizaje práctico mantiene el juicio practicable cuando los trabajadores tienen tiempo para ejercerlo y autoridad sobre el resultado.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Mandato, Recurso y supervisión efectiva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4, «Dónde recae la responsabilidad» (Where Responsibility Falls); capítulo 5, «El Mandato de la mirada pública» (The Mandate of the Public Gaze); capítulo 7, «Dónde debe detenerse el Mandato» (Where the Mandate Must Stop); capítulo 8, «Diagnóstico aumentado y riesgo de confundir precisión con verdad» (Augmented Diagnosis and the Risk of Mistaking Precision for Truth); capítulo 12, «Derechos en la era de la predicción» (Rights in the Age of Prediction); capítulo 16, «Cuando algo se desvía: incidente y Recurso» (When Something Goes Off Course: Incident and Redress); Interludio I, «Siete preguntas antes de delegar» (Seven Questions Before Delegating); Interludio II, «El costo del control» (The Cost of Control).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Una persona importa en el proceso cuando dispone de evidencia, tiempo y poder para suspender, corregir y obtener un resultado motivado.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Cuidado, incertidumbre y dignidad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8, «Cuidar sin deshumanizar» (Caring Without Dehumanizing), «El cuidado al final de la vida» (Care at the End of Life); capítulo 11, «El amigo que nunca duerme» (The Friend Who Never Sleeps); capítulo 15, «Los muertos que nunca se van» (The Dead Who Never Leave).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El error técnico, la incertidumbre clínica, el conflicto de valores, la presencia y la despedida requieren respuestas diferentes.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Verdad pública, procedencia y fatiga epistémica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9, «Reconstruir la confianza pública» (Rebuilding Public Trust); capítulo 10, «Las fuentes creativas y su uso» (Creative Sources and Their Use); Apéndice, Herramientas para el lector, «Glosario esencial» (Essential Glossary).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Reconstruir el origen y las transformaciones ayuda a verificar, pero la confianza pública también depende del costo humano e institucional de impugnar una afirmación.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Autoría, firma y nueva escasez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10, «De la generación a una obra» (From Generation to a Work), «Aquí hubo una persona» (A Person Was Here); capítulo 9, «Reconstruir la confianza pública» (Rebuilding Public Trust).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procedencia, la declaración de las herramientas y la firma distribuyen historia, transparencia y responsabilidad sin atribuir automáticamente valor a una obra.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Apego, menores y asimetría relacional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11, «El amigo que nunca duerme» (The Friend Who Never Sleeps), «La asimetría» (The Asymmetry), «El modelo de negocio del afecto» (The Business Model of Affection); capítulo 15, «Los muertos que nunca se van» (The Dead Who Never Leave); capítulo 16, «Cuando la respuesta es no adoptar» (Deciding Against Adoption).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El consuelo puede convertirse en puente o jaula según la memoria, los incentivos, la libertad de detenerse y la apertura a otras relaciones.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Privacidad, elaboración de perfiles e intervalos no medidos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5, «El Mandato de la mirada pública» (The Mandate of the Public Gaze); capítulo 12, «Cuando el sesgo entra en el sistema» (When Bias Enters the System), «Derechos en la era de la predicción» (Rights in the Age of Prediction); capítulo 11, «El modelo de negocio del afecto» (The Business Model of Affection).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Proteger no autoriza automáticamente a mandar, y una persona debe poder cambiar sin producir de inmediato un perfil operativo.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Costo del control, daño residual y capacidad organizativa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7, «El protocolo de prueba» (The Testing Protocol); capítulo 8, «Diagnóstico aumentado y riesgo de confundir precisión con verdad» (Augmented Diagnosis and the Risk of Mistaking Precision for Truth); capítulo 14, «El mantenimiento decide quién conserva la voz» (Maintenance Determines Who Keeps a Voice); Interludio II, «El costo del control» (The Cost of Control), «El daño que permanece» (The Harm That Remains); Apéndice, Herramientas para el lector, «Las siete preguntas de la Prueba 2050» (The Seven Questions of the 2050 Test).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verificación requiere tiempo y competencia sin prometer riesgo cero. Debe dejar un registro que permita reconstruir y reparar, con una vía para restringir el sistema.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Sostenibilidad material y justicia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3, «El día en que el mundo se detiene sin hacer ruido» (The Day the World Stops Without a Sound); capítulo 13, «La cadena de suministro oculta: minas, fábricas, logística y residuos» (The Hidden Supply Chain: Mines, Factories, Logistics, and Waste), «El agua y el territorio alrededor del centro de datos» (Water and Land Around the Data Center), «Una nueva idea de progreso» (A New Idea of Progress); capítulo 14, «Cooperación a través de las fronteras» (Cooperation Across Borders).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Energía, agua, minerales, equipos, trabajo y residuos forman una cadena de decisiones, no un costo abstracto.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Dependencia estratégica, mantenimiento y voz infraestructural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3, «El día en que el mundo se detiene sin hacer ruido» (The Day the World Stops Without a Sound); capítulo 14, «El mantenimiento decide quién conserva la voz» (Maintenance Determines Who Keeps a Voice), «La infraestructura detrás del contrato» (The Infrastructure Behind the Contract).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autonomía relativa crece a partir de alternativas, competencia local, estándares y facultades concretas para suspender, corregir y exportar.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Desigualdad y acceso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Interludio I, «4. Distribución: ¿quién se beneficia, quién paga y quién puede objetar?» (4. Distribution—Who Benefits, Who Pays, and Who Can Object?); capítulo 4, «Dónde recae la responsabilidad» (Where Responsibility Falls); capítulo 5, «La ciudad como pacto cívico» (The City as a Civic Compact); capítulo 6, «El juicio más allá de la herramienta» (Judgment Beyond the Tool); capítulo 8, «Cuidar sin deshumanizar» (Caring Without Dehumanizing); capítulo 12, «Derechos en la era de la predicción» (Rights in the Age of Prediction); capítulo 13, «Una nueva idea de progreso» (A New Idea of Progress); capítulo 14, «Autonomía dentro de la interdependencia» (Autonomy Within Interdependence).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Los beneficios, las esperas, las protecciones y los costos cambian con los ingresos, el territorio, la capacidad administrativa y el acceso a un recurso.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Memoria, archivo, simulación y olvido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15, «Los muertos que nunca se van» (The Dead Who Never Leave), «Hablar con quienes ya no están» (Talking to Those Who Are Gone), «El derecho a desaparecer» (The Right to Disappear), «La memoria no es un archivo» (Memory Is Not an Archive); capítulo 11, «El amigo que nunca duerme» (The Friend Who Never Sleeps); capítulo 12, «Derechos en la era de la predicción» (Rights in the Age of Prediction); Epílogo, «Lo que no delegamos» (What We Do Not Delegate).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Conservar rastros, organizar un memorial y generar palabras nuevas son actos diferentes, con Mandatos y derechos distintos.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Ciclo de vida, monitoreo y salida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7, «El protocolo de prueba» (The Testing Protocol); capítulo 16, «Antes del uso: ficha y Mandato» (Before Use: Worksheet and Mandate), «Durante el uso: registro y supervisión» (During Use: Log and Oversight), «Cuando algo se desvía: incidente y Recurso» (When Something Goes Off Course: Incident and Redress), «Continuidad cuando un sistema cierra» (Continuity When a System Closes); Apéndice, Herramientas para el lector, «Las siete preguntas de la Prueba 2050» (The Seven Questions of the 2050 Test), «La ficha mínima» (The Minimum Worksheet), «Ejemplo condensado: Davide, 15 de octubre de 2050, y seguimiento» (Condensed Example: Davide, October 15, 2050, and Follow-up).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ficha, el registro, el incidente, el Recurso, la prueba de salida y la revisión mantienen observable el Mandato cuando cambian el modelo, los datos, la escala o las personas responsables.</w:t>
      </w:r>
    </w:p>
    <w:p>
      <w:pPr>
        <w:keepNext/>
        <w:spacing w:before="200" w:after="80" w:line="300" w:lineRule="exact"/>
      </w:pPr>
      <w:r>
        <w:rPr>
          <w:rFonts w:ascii="EB Garamond" w:hAnsi="EB Garamond" w:eastAsia="EB Garamond" w:cs="EB Garamond"/>
          <w:b/>
          <w:color w:val="183445"/>
          <w:sz w:val="23"/>
          <w:szCs w:val="23"/>
        </w:rPr>
        <w:t xml:space="preserve">No delegar, costo de decir no y reapertura</w:t>
      </w:r>
    </w:p>
    <w:p>
      <w:pPr>
        <w:spacing w:after="40" w:line="270" w:lineRule="exact"/>
        <w:keepNext/>
      </w:pPr>
      <w:r>
        <w:rPr>
          <w:rFonts w:ascii="EB Garamond" w:hAnsi="EB Garamond" w:eastAsia="EB Garamond" w:cs="EB Garamond"/>
          <w:i/>
          <w:color w:val="5A686F"/>
          <w:sz w:val="21"/>
          <w:szCs w:val="21"/>
        </w:rPr>
        <w:t xml:space="preserve">Dónde aparece en el libro: capítulo 16, «Cuando la respuesta es no adoptar» (Deciding Against Adoption), «El costo del no y la reapertura» (The Costs of Refusal and Reconsideration); Epílogo, «Lo que no delegamos» (What We Do Not Delegate); Apéndice, Herramientas para el lector, «Ejemplo condensado: Davide, 15 de octubre de 2050, y seguimiento» (Condensed Example: Davide, October 15, 2050, and Follow-up).</w:t>
      </w:r>
    </w:p>
    <w:p>
      <w:pPr>
        <w:spacing w:after="100" w:line="270" w:lineRule="exact"/>
      </w:pPr>
      <w:r>
        <w:rPr>
          <w:rFonts w:ascii="EB Garamond" w:hAnsi="EB Garamond" w:eastAsia="EB Garamond" w:cs="EB Garamond"/>
          <w:color w:val="1F2D33"/>
          <w:sz w:val="21"/>
          <w:szCs w:val="21"/>
        </w:rPr>
        <w:t xml:space="preserve">La negativa registra protecciones y costos mientras conserva una alternativa. Una nueva prueba puede reabrir la decisión sin borrar el primer juicio.</w:t>
      </w:r>
    </w:p>
    <w:sectPr>
      <w:headerReference w:type="default" r:id="rId9"/>
      <w:footerReference w:type="default" r:id="rId10"/>
      <w:footerReference w:type="first" r:id="rId11"/>
      <w:pgSz w:w="12240" w:h="15840"/>
      <w:pgMar w:top="1008" w:right="1008" w:bottom="1008" w:left="1008" w:header="432" w:footer="432" w:gutter="0"/>
      <w:cols w:space="720"/>
      <w:titlePg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EB Garamond">
    <w:altName w:val="Garamond"/>
    <w:charset w:val="00"/>
    <w:family w:val="auto"/>
    <w:pitch w:val="variable"/>
    <w:sig w:usb0="E00002FF" w:usb1="02000413" w:usb2="00000000" w:usb3="00000000" w:csb0="0000019F" w:csb1="00000000"/>
    <w:embedRegular r:id="rId1" w:fontKey="{8803E84C-4695-4705-838C-D4FC599F85E4}"/>
    <w:embedBold r:id="rId2" w:fontKey="{34828F21-0C39-43B1-A4DE-E08636D6C3A3}"/>
    <w:embedItalic r:id="rId3" w:fontKey="{16841129-51C1-4C09-BE4D-4D07B4C2C00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152" w:val="left"/>
      </w:tabs>
      <w:spacing w:before="0" w:after="0"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2050 - ES-INTL-R2.3 - Instantánea documental de julio de 2026</w:t>
    </w:r>
    <w:r>
      <w:tab/>
      <w:rPr>
        <w:rFonts w:ascii="EB Garamond" w:hAnsi="EB Garamond" w:eastAsia="EB Garamond" w:cs="EB Garamond"/>
        <w:sz w:val="16"/>
        <w:szCs w:val="16"/>
        <w:color w:val="65757D"/>
      </w:rPr>
    </w:r>
    <w:r>
      <w:rPr>
        <w:rFonts w:ascii="EB Garamond" w:hAnsi="EB Garamond" w:eastAsia="EB Garamond" w:cs="EB Garamond"/>
        <w:color w:val="65757D"/>
        <w:sz w:val="16"/>
        <w:szCs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pacing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https://www.corneritaliano.com/es/2050/recursos/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0" w:lineRule="exact"/>
      <w:jc w:val="left"/>
    </w:pPr>
    <w:r>
      <w:rPr>
        <w:rFonts w:ascii="EB Garamond" w:hAnsi="EB Garamond" w:eastAsia="EB Garamond" w:cs="EB Garamond"/>
        <w:b/>
        <w:color w:val="65757D"/>
        <w:sz w:val="16"/>
        <w:szCs w:val="16"/>
      </w:rPr>
      <w:t xml:space="preserve">2050  |  RECURSOS OFICIALES  |  Mapa temático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EB Garamond" w:hAnsi="EB Garamond" w:eastAsia="EB Garamond" w:cs="EB Garamond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EB Garamond" w:hAnsi="EB Garamond" w:eastAsia="EB Garamond" w:cs="EB Garamond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EB Garamond" w:hAnsi="EB Garamond" w:eastAsia="EB Garamond" w:cs="EB Garamond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EB Garamond" w:hAnsi="EB Garamond" w:eastAsia="EB Garamond" w:cs="EB Garamon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1"/>
        <w:szCs w:val="21"/>
        <w:lang w:val="es" w:eastAsia="es" w:bidi="ar-SA"/>
        <w:color w:val="1F2D33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70" w:lineRule="exact"/>
    </w:pPr>
    <w:rPr>
      <w:rFonts w:ascii="EB Garamond" w:hAnsi="EB Garamond" w:eastAsia="EB Garamond" w:cs="EB Garamond"/>
      <w:color w:val="1F2D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EB Garamond" w:hAnsi="EB Garamond" w:eastAsia="EB Garamond" w:cs="EB Garamond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EB Garamond" w:hAnsi="EB Garamond" w:eastAsia="EB Garamond" w:cs="EB 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EB Garamond" w:hAnsi="EB Garamond" w:eastAsia="EB Garamond" w:cs="EB Garamond"/>
      <w:b/>
      <w:bCs/>
      <w:color w:val="18344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EB Garamond" w:hAnsi="EB Garamond" w:eastAsia="EB Garamond" w:cs="EB Garamond"/>
      <w:b/>
      <w:bCs/>
      <w:color w:val="B04A35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EB Garamond" w:hAnsi="EB Garamond" w:eastAsia="EB Garamond" w:cs="EB Garamond"/>
      <w:b/>
      <w:bCs/>
      <w:color w:val="183445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EB Garamond" w:hAnsi="EB Garamond" w:eastAsia="EB Garamond" w:cs="EB Garamond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numbering" w:default="1" w:styleId="NoList">
    <w:name w:val="No List"/>
    <w:uiPriority w:val="99"/>
    <w:semiHidden/>
    <w:unhideWhenUsed/>
    <w:rPr>
      <w:rFonts w:ascii="EB Garamond" w:hAnsi="EB Garamond" w:eastAsia="EB Garamond" w:cs="EB Garamond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EB Garamond" w:hAnsi="EB Garamond" w:eastAsia="EB Garamond" w:cs="EB Garamond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="EB Garamond" w:hAnsi="EB Garamond" w:eastAsia="EB Garamond" w:cs="EB Garamond"/>
      <w:b/>
      <w:color w:val="183445"/>
      <w:spacing w:val="5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="EB Garamond" w:hAnsi="EB Garamond" w:eastAsia="EB Garamond" w:cs="EB Garamond"/>
      <w:b w:val="0"/>
      <w:i/>
      <w:iCs/>
      <w:color w:val="5A686F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EB Garamond" w:hAnsi="EB Garamond" w:eastAsia="EB Garamond" w:cs="EB Garamond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EB Garamond" w:hAnsi="EB Garamond" w:eastAsia="EB Garamond" w:cs="EB Garamond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EB Garamond" w:hAnsi="EB Garamond" w:eastAsia="EB Garamond" w:cs="EB Garamond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EB Garamond" w:hAnsi="EB Garamond" w:eastAsia="EB Garamond" w:cs="EB Garamond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EB Garamond" w:hAnsi="EB Garamond" w:eastAsia="EB Garamond" w:cs="EB Garamond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rFonts w:ascii="EB Garamond" w:hAnsi="EB Garamond" w:eastAsia="EB Garamond" w:cs="EB Garamond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rFonts w:ascii="EB Garamond" w:hAnsi="EB Garamond" w:eastAsia="EB Garamond" w:cs="EB Garamond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EB Garamond" w:hAnsi="EB Garamond" w:eastAsia="EB Garamond" w:cs="EB Garamond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EB Garamond" w:hAnsi="EB Garamond" w:eastAsia="EB Garamond" w:cs="EB Garamond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EB Garamond" w:hAnsi="EB Garamond" w:eastAsia="EB Garamond" w:cs="EB Garamond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EB Garamond" w:hAnsi="EB Garamond" w:eastAsia="EB Garamond" w:cs="EB Garamond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EB Garamond" w:hAnsi="EB Garamond" w:eastAsia="EB Garamond" w:cs="EB Garamond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EB Garamond" w:hAnsi="EB Garamond" w:eastAsia="EB Garamond" w:cs="EB Garamond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EB Garamond" w:hAnsi="EB Garamond" w:eastAsia="EB Garamond" w:cs="EB Garamond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EB Garamond" w:hAnsi="EB Garamond" w:eastAsia="EB Garamond" w:cs="EB Garamond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EB Garamond" w:hAnsi="EB Garamond" w:eastAsia="EB Garamond" w:cs="EB Garamond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EB Garamond" w:hAnsi="EB Garamond" w:eastAsia="EB Garamond" w:cs="EB Garamond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EB Garamond" w:hAnsi="EB Garamond" w:eastAsia="EB Garamond" w:cs="EB Garamond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EB Garamond" w:hAnsi="EB Garamond" w:eastAsia="EB Garamond" w:cs="EB Garamond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  <w:rFonts w:ascii="EB Garamond" w:hAnsi="EB Garamond" w:eastAsia="EB Garamond" w:cs="EB Garamond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EB Garamond" w:hAnsi="EB Garamond" w:eastAsia="EB Garamond" w:cs="EB Garamond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EB Garamond" w:hAnsi="EB Garamond" w:eastAsia="EB Garamond" w:cs="EB Garamon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  <w:rFonts w:ascii="EB Garamond" w:hAnsi="EB Garamond" w:eastAsia="EB Garamond" w:cs="EB Garamon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  <w:rFonts w:ascii="EB Garamond" w:hAnsi="EB Garamond" w:eastAsia="EB Garamond" w:cs="EB Garamond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  <w:rFonts w:ascii="EB Garamond" w:hAnsi="EB Garamond" w:eastAsia="EB Garamond" w:cs="EB Garamond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  <w:rFonts w:ascii="EB Garamond" w:hAnsi="EB Garamond" w:eastAsia="EB Garamond" w:cs="EB Garamond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EB Garamond" w:hAnsi="EB Garamond" w:eastAsia="EB Garamond" w:cs="EB Garamon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EB Garamond" w:hAnsi="EB Garamond" w:eastAsia="EB Garamond" w:cs="EB Garamond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EB Garamond" w:hAnsi="EB Garamond" w:eastAsia="EB Garamond" w:cs="EB Garamond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EB Garamond" w:hAnsi="EB Garamond" w:eastAsia="EB Garamond" w:cs="EB Garamond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EB Garamond" w:hAnsi="EB Garamond" w:eastAsia="EB Garamond" w:cs="EB Garamond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hyperlink" Target="https://www.corneritaliano.com/es/2050/recursos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EBGaramond-Regular.odttf"/><Relationship Id="rId2" Type="http://schemas.openxmlformats.org/officeDocument/2006/relationships/font" Target="fonts/EBGaramond-Bold.odttf"/><Relationship Id="rId3" Type="http://schemas.openxmlformats.org/officeDocument/2006/relationships/font" Target="fonts/EBGaramond-Italic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EB Garamond"/>
        <a:ea typeface="EB Garamond"/>
        <a:cs typeface="EB Garamond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EB Garamond"/>
        <a:ea typeface="EB Garamond"/>
        <a:cs typeface="EB Garamond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 temático | ES-INTL-R2.3 | Español | English source V51.2</dc:title>
  <dc:subject>Mapa temático | ES-INTL-R2.3 | Español | English source V51.2</dc:subject>
  <dc:creator>Marco De Prosperis</dc:creator>
  <cp:keywords>2050, EN-US-R2.3, July 2026 documentary snapshot, revised English interior</cp:keywords>
  <dc:description>Mapa temático | ES-INTL-R2.3 | Español | English source V51.2</dc:description>
  <cp:lastModifiedBy>Corner Italiano LLC</cp:lastModifiedBy>
  <cp:revision>2</cp:revision>
  <dcterms:created xsi:type="dcterms:W3CDTF">2013-12-23T23:15:00Z</dcterms:created>
  <dcterms:modified xsi:type="dcterms:W3CDTF">2026-09-10T15:55:33Z</dcterms:modified>
  <cp:category/>
  <dc:language>es</dc:language>
</cp:coreProperties>
</file>