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80"/>
        <w:jc w:val="center"/>
      </w:pPr>
      <w:r>
        <w:rPr>
          <w:rFonts w:ascii="DejaVu Sans" w:hAnsi="DejaVu Sans" w:eastAsia="DejaVu Sans"/>
          <w:b/>
          <w:color w:val="B54B2A"/>
          <w:sz w:val="16"/>
        </w:rPr>
        <w:t>CORNER ITALIANO  |  RESSOURCES OFFICIELLES</w:t>
      </w:r>
    </w:p>
    <w:p>
      <w:pPr>
        <w:spacing w:before="560"/>
        <w:jc w:val="center"/>
      </w:pPr>
      <w:r>
        <w:rPr>
          <w:rFonts w:ascii="DejaVu Sans" w:hAnsi="DejaVu Sans" w:eastAsia="DejaVu Sans"/>
          <w:b/>
          <w:color w:val="123044"/>
          <w:sz w:val="50"/>
        </w:rPr>
        <w:t>Le Test 2050</w:t>
      </w:r>
    </w:p>
    <w:p>
      <w:pPr>
        <w:jc w:val="center"/>
      </w:pPr>
      <w:r>
        <w:rPr>
          <w:rFonts w:ascii="DejaVu Sans" w:hAnsi="DejaVu Sans" w:eastAsia="DejaVu Sans"/>
          <w:b/>
          <w:color w:val="123044"/>
          <w:sz w:val="44"/>
        </w:rPr>
        <w:t>Cahier opérationnel</w:t>
      </w:r>
    </w:p>
    <w:p>
      <w:pPr>
        <w:spacing w:before="200"/>
        <w:jc w:val="center"/>
      </w:pPr>
      <w:r>
        <w:rPr>
          <w:rFonts w:ascii="DejaVu Sans" w:hAnsi="DejaVu Sans" w:eastAsia="DejaVu Sans"/>
          <w:color w:val="5D6870"/>
          <w:sz w:val="18"/>
        </w:rPr>
        <w:t>Trois vocabulaires, sept questions, suivi, décision et réexamen.</w:t>
      </w:r>
    </w:p>
    <w:p>
      <w:pPr>
        <w:spacing w:before="600"/>
        <w:jc w:val="center"/>
      </w:pPr>
      <w:r>
        <w:rPr>
          <w:rFonts w:ascii="DejaVu Sans" w:hAnsi="DejaVu Sans" w:eastAsia="DejaVu Sans"/>
          <w:color w:val="234C61"/>
          <w:sz w:val="18"/>
        </w:rPr>
        <w:t>Instantané de l’édition française - juillet 2026 - Format A4</w:t>
      </w:r>
    </w:p>
    <w:p>
      <w:pPr>
        <w:spacing w:before="520"/>
        <w:jc w:val="center"/>
      </w:pPr>
      <w:hyperlink r:id="rId12">
        <w:r>
          <w:rPr>
            <w:rFonts w:ascii="DejaVu Sans" w:hAnsi="DejaVu Sans" w:eastAsia="DejaVu Sans"/>
            <w:color w:val="234C61"/>
            <w:u w:val="single"/>
            <w:sz w:val="18"/>
          </w:rPr>
          <w:t>https://www.corneritaliano.com/fr/2050/ressources/</w:t>
        </w:r>
      </w:hyperlink>
    </w:p>
    <w:p>
      <w:pPr>
        <w:spacing w:before="800"/>
        <w:jc w:val="center"/>
      </w:pPr>
      <w:r>
        <w:rPr>
          <w:rFonts w:ascii="DejaVu Sans" w:hAnsi="DejaVu Sans" w:eastAsia="DejaVu Sans"/>
          <w:i/>
          <w:color w:val="5D6870"/>
          <w:sz w:val="15"/>
        </w:rPr>
        <w:t>Imprimez à 100 % sur papier A4. Renseignez les faits, documents, version et date. Les espaces vierges sont intentionnels et servent à consigner les éléments probants.</w:t>
      </w:r>
    </w:p>
    <w:p>
      <w:r>
        <w:br w:type="page"/>
      </w:r>
    </w:p>
    <w:p>
      <w:pPr>
        <w:pStyle w:val="Heading1"/>
      </w:pPr>
      <w:r>
        <w:t>Carte des trois vocabulaires</w:t>
      </w:r>
    </w:p>
    <w:p>
      <w:pPr>
        <w:keepLines w:val="0"/>
      </w:pPr>
      <w:r>
        <w:rPr>
          <w:rFonts w:ascii="DejaVu Sans" w:hAnsi="DejaVu Sans" w:eastAsia="DejaVu Sans"/>
          <w:color w:val="1E2528"/>
          <w:sz w:val="15"/>
        </w:rPr>
        <w:t>Les trois listes répondent à des questions différentes. Le mode décrit le pouvoir exercé par le système ; l’état de la preuve qualifie chacune des questions du Test ; la décision organisationnelle détermine ce qui est autorisé dans l’ensemble. On ne peut ni les additionner ni passer automatiquement de l’une à l’autre.</w:t>
      </w:r>
    </w:p>
    <w:tbl>
      <w:tblPr>
        <w:tblW w:type="dxa" w:w="989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1681"/>
        <w:gridCol w:w="5044"/>
        <w:gridCol w:w="3165"/>
      </w:tblGrid>
      <w:tr>
        <w:trPr>
          <w:tblHeader w:val="true"/>
          <w:cantSplit/>
        </w:trPr>
        <w:tc>
          <w:tcPr>
            <w:tcW w:type="dxa" w:w="168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Plan</w:t>
            </w:r>
          </w:p>
        </w:tc>
        <w:tc>
          <w:tcPr>
            <w:tcW w:type="dxa" w:w="504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Vocabulaire et signification</w:t>
            </w:r>
          </w:p>
        </w:tc>
        <w:tc>
          <w:tcPr>
            <w:tcW w:type="dxa" w:w="3165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Règle d’usage</w:t>
            </w:r>
          </w:p>
        </w:tc>
      </w:tr>
      <w:tr>
        <w:trPr>
          <w:cantSplit/>
        </w:trPr>
        <w:tc>
          <w:tcPr>
            <w:tcW w:type="dxa" w:w="168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Mode du système</w:t>
            </w:r>
          </w:p>
        </w:tc>
        <w:tc>
          <w:tcPr>
            <w:tcW w:type="dxa" w:w="504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Assiste - prépare, organise ou rend visibles des éléments sans choisir l’issue. Propose - recommande une option qu’une personne compétente peut modifier ou refuser. Décide - sélectionne une issue dans le cadre du Mandat. Exécute - produit l’effet sur le service, dans le monde ou sur les droits.</w:t>
            </w:r>
          </w:p>
        </w:tc>
        <w:tc>
          <w:tcPr>
            <w:tcW w:type="dxa" w:w="3165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Décrit le pouvoir exercé pour une tâche et une phase données. Peut changer au sein d’un même système.</w:t>
            </w:r>
          </w:p>
        </w:tc>
      </w:tr>
      <w:tr>
        <w:trPr>
          <w:cantSplit/>
        </w:trPr>
        <w:tc>
          <w:tcPr>
            <w:tcW w:type="dxa" w:w="168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État de la preuve</w:t>
            </w:r>
          </w:p>
        </w:tc>
        <w:tc>
          <w:tcPr>
            <w:tcW w:type="dxa" w:w="504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Suffisante - permet de décider dans le cadre d’une version, d’une date et d’un périmètre consignés par écrit. Non résolue - requiert une preuve, un responsable et une échéance. Bloquante - empêche la délégation ou impose de restreindre ou d’interrompre l’usage tant que la condition n’a pas changé.</w:t>
            </w:r>
          </w:p>
        </w:tc>
        <w:tc>
          <w:tcPr>
            <w:tcW w:type="dxa" w:w="3165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Qualifie chacune des questions du Test. Ne constitue pas un jugement favorable sur le produit et ne donne lieu à aucune moyenne.</w:t>
            </w:r>
          </w:p>
        </w:tc>
      </w:tr>
      <w:tr>
        <w:trPr>
          <w:cantSplit/>
        </w:trPr>
        <w:tc>
          <w:tcPr>
            <w:tcW w:type="dxa" w:w="168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Décision organisationnelle</w:t>
            </w:r>
          </w:p>
        </w:tc>
        <w:tc>
          <w:tcPr>
            <w:tcW w:type="dxa" w:w="504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Poursuivre - autoriser le périmètre consigné par écrit. Limiter et tester - autoriser un essai délimité, réversible et pouvant être interrompu. Ne pas déléguer - ne pas confier ce pouvoir dans le contexte actuel ; consigner la solution de rechange, le coût et le réexamen. Interrompre - mettre fin à une autorisation déjà en vigueur.</w:t>
            </w:r>
          </w:p>
        </w:tc>
        <w:tc>
          <w:tcPr>
            <w:tcW w:type="dxa" w:w="3165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Consigne le choix d’ensemble. Celui-ci ne découle automatiquement ni du mode ni du nombre de réponses Suffisantes.</w:t>
            </w:r>
          </w:p>
        </w:tc>
      </w:tr>
    </w:tbl>
    <w:p>
      <w:pPr>
        <w:spacing w:after="0"/>
      </w:pPr>
    </w:p>
    <w:p>
      <w:pPr>
        <w:pStyle w:val="Heading1"/>
      </w:pPr>
      <w:r>
        <w:t>Du Test à la décision</w:t>
      </w:r>
    </w:p>
    <w:tbl>
      <w:tblPr>
        <w:tblW w:type="dxa" w:w="989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2374"/>
        <w:gridCol w:w="7516"/>
      </w:tblGrid>
      <w:tr>
        <w:trPr>
          <w:tblHeader w:val="true"/>
          <w:cantSplit/>
        </w:trPr>
        <w:tc>
          <w:tcPr>
            <w:tcW w:type="dxa" w:w="237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Étape</w:t>
            </w:r>
          </w:p>
        </w:tc>
        <w:tc>
          <w:tcPr>
            <w:tcW w:type="dxa" w:w="751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Ce qui doit rester observable</w:t>
            </w:r>
          </w:p>
        </w:tc>
      </w:tr>
      <w:tr>
        <w:trPr>
          <w:cantSplit/>
        </w:trPr>
        <w:tc>
          <w:tcPr>
            <w:tcW w:type="dxa" w:w="237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1. Test</w:t>
            </w:r>
          </w:p>
        </w:tc>
        <w:tc>
          <w:tcPr>
            <w:tcW w:type="dxa" w:w="751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Finalité, Mandat, Preuve, Répartition, Préjudice, Recours et Sortie ; éléments probants et conditions non compensables.</w:t>
            </w:r>
          </w:p>
        </w:tc>
      </w:tr>
      <w:tr>
        <w:trPr>
          <w:cantSplit/>
        </w:trPr>
        <w:tc>
          <w:tcPr>
            <w:tcW w:type="dxa" w:w="237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2. Mandat</w:t>
            </w:r>
          </w:p>
        </w:tc>
        <w:tc>
          <w:tcPr>
            <w:tcW w:type="dxa" w:w="751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Tâches, modes, données, personnes, lieux, durée, volume, registres, interdictions, seuils et pouvoir d’arrêt.</w:t>
            </w:r>
          </w:p>
        </w:tc>
      </w:tr>
      <w:tr>
        <w:trPr>
          <w:cantSplit/>
        </w:trPr>
        <w:tc>
          <w:tcPr>
            <w:tcW w:type="dxa" w:w="237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3. Suivi du cycle de vie</w:t>
            </w:r>
          </w:p>
        </w:tc>
        <w:tc>
          <w:tcPr>
            <w:tcW w:type="dxa" w:w="751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Version, bénéfices, exceptions, charge de supervision, incidents, recours, compétence résiduelle et test de réversibilité.</w:t>
            </w:r>
          </w:p>
        </w:tc>
      </w:tr>
      <w:tr>
        <w:trPr>
          <w:cantSplit/>
        </w:trPr>
        <w:tc>
          <w:tcPr>
            <w:tcW w:type="dxa" w:w="237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4. Limiter, sortir ou interrompre</w:t>
            </w:r>
          </w:p>
        </w:tc>
        <w:tc>
          <w:tcPr>
            <w:tcW w:type="dxa" w:w="751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Restreindre le Mandat, passer en mode dégradé, remplacer le système ou l’arrêter lorsque les conditions ne sont plus réunies.</w:t>
            </w:r>
          </w:p>
        </w:tc>
      </w:tr>
    </w:tbl>
    <w:p>
      <w:pPr>
        <w:spacing w:after="0"/>
      </w:pPr>
    </w:p>
    <w:tbl>
      <w:tblPr>
        <w:tblW w:type="dxa" w:w="9890"/>
        <w:jc w:val="left"/>
        <w:tblLayout w:type="fixed"/>
        <w:tblLook w:firstColumn="1" w:firstRow="1" w:lastColumn="0" w:lastRow="0" w:noHBand="0" w:noVBand="1" w:val="04A0"/>
        <w:tblInd w:w="150" w:type="dxa"/>
        <w:tblBorders>
          <w:top w:val="single" w:sz="7" w:space="0" w:color="B54B2A"/>
          <w:left w:val="single" w:sz="7" w:space="0" w:color="B54B2A"/>
          <w:bottom w:val="single" w:sz="7" w:space="0" w:color="B54B2A"/>
          <w:right w:val="single" w:sz="7" w:space="0" w:color="B54B2A"/>
          <w:insideH w:val="single" w:sz="7" w:space="0" w:color="B54B2A"/>
          <w:insideV w:val="single" w:sz="7" w:space="0" w:color="B54B2A"/>
        </w:tblBorders>
      </w:tblPr>
      <w:tblGrid>
        <w:gridCol w:w="9890"/>
      </w:tblGrid>
      <w:tr>
        <w:trPr>
          <w:cantSplit/>
        </w:trPr>
        <w:tc>
          <w:tcPr>
            <w:tcW w:type="dxa" w:w="9890"/>
            <w:shd w:fill="F7E7E0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40"/>
            </w:pPr>
            <w:r>
              <w:rPr>
                <w:rFonts w:ascii="DejaVu Sans" w:hAnsi="DejaVu Sans" w:eastAsia="DejaVu Sans"/>
                <w:b/>
                <w:color w:val="B54B2A"/>
                <w:sz w:val="17"/>
              </w:rPr>
              <w:t xml:space="preserve">À RETENIR  </w:t>
            </w:r>
            <w:r>
              <w:rPr>
                <w:rFonts w:ascii="DejaVu Sans" w:hAnsi="DejaVu Sans" w:eastAsia="DejaVu Sans"/>
                <w:color w:val="1E2528"/>
                <w:sz w:val="18"/>
              </w:rPr>
              <w:t>Assiste n’équivaut pas à Poursuivre ; Suffisante n’équivaut pas à un jugement positif. Si le modèle, les données, le fournisseur, l’échelle ou les responsables changent, le Test doit être rouvert.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</w:pPr>
      <w:r>
        <w:t>Fiche à remplir du Test 2050</w:t>
      </w:r>
    </w:p>
    <w:p>
      <w:pPr>
        <w:keepLines w:val="0"/>
      </w:pPr>
      <w:r>
        <w:rPr>
          <w:rFonts w:ascii="DejaVu Sans" w:hAnsi="DejaVu Sans" w:eastAsia="DejaVu Sans"/>
          <w:color w:val="1E2528"/>
          <w:sz w:val="15"/>
        </w:rPr>
        <w:t>Six pages : identification ; sept questions ; suivi ; décision et réexamen. Renseignez des faits datés. Suffisante ne s’applique que dans le périmètre consigné par écrit ; Non résolue exige une preuve et une échéance ; Bloquante restreint ou interrompt l’autorisation. Les bénéfices ne compensent pas l’absence de Recours, de Sortie ou de pouvoir d’arrêt.</w:t>
      </w:r>
    </w:p>
    <w:tbl>
      <w:tblPr>
        <w:tblW w:type="dxa" w:w="989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4450"/>
        <w:gridCol w:w="5440"/>
      </w:tblGrid>
      <w:tr>
        <w:trPr>
          <w:tblHeader w:val="true"/>
          <w:cantSplit/>
        </w:trPr>
        <w:tc>
          <w:tcPr>
            <w:tcW w:type="dxa" w:w="445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Page 1 - Fiche minimale</w:t>
            </w:r>
          </w:p>
        </w:tc>
        <w:tc>
          <w:tcPr>
            <w:tcW w:type="dxa" w:w="544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Consignation</w:t>
            </w:r>
          </w:p>
        </w:tc>
      </w:tr>
      <w:tr>
        <w:trPr>
          <w:cantSplit/>
          <w:trHeight w:val="610" w:hRule="atLeast"/>
        </w:trPr>
        <w:tc>
          <w:tcPr>
            <w:tcW w:type="dxa" w:w="445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Problème, bénéficiaires et critère de réussite</w:t>
            </w:r>
          </w:p>
        </w:tc>
        <w:tc>
          <w:tcPr>
            <w:tcW w:type="dxa" w:w="544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610" w:hRule="atLeast"/>
        </w:trPr>
        <w:tc>
          <w:tcPr>
            <w:tcW w:type="dxa" w:w="445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Décision ou service concerné</w:t>
            </w:r>
          </w:p>
        </w:tc>
        <w:tc>
          <w:tcPr>
            <w:tcW w:type="dxa" w:w="544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610" w:hRule="atLeast"/>
        </w:trPr>
        <w:tc>
          <w:tcPr>
            <w:tcW w:type="dxa" w:w="445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Système, version, fournisseur et dépendances essentielles</w:t>
            </w:r>
          </w:p>
        </w:tc>
        <w:tc>
          <w:tcPr>
            <w:tcW w:type="dxa" w:w="544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610" w:hRule="atLeast"/>
        </w:trPr>
        <w:tc>
          <w:tcPr>
            <w:tcW w:type="dxa" w:w="445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Données nécessaires et données interdites</w:t>
            </w:r>
          </w:p>
        </w:tc>
        <w:tc>
          <w:tcPr>
            <w:tcW w:type="dxa" w:w="544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610" w:hRule="atLeast"/>
        </w:trPr>
        <w:tc>
          <w:tcPr>
            <w:tcW w:type="dxa" w:w="445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Personnes exposées et groupes les moins protégés</w:t>
            </w:r>
          </w:p>
        </w:tc>
        <w:tc>
          <w:tcPr>
            <w:tcW w:type="dxa" w:w="544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610" w:hRule="atLeast"/>
        </w:trPr>
        <w:tc>
          <w:tcPr>
            <w:tcW w:type="dxa" w:w="445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Préjudice inacceptable et délai avant sa survenue</w:t>
            </w:r>
          </w:p>
        </w:tc>
        <w:tc>
          <w:tcPr>
            <w:tcW w:type="dxa" w:w="544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610" w:hRule="atLeast"/>
        </w:trPr>
        <w:tc>
          <w:tcPr>
            <w:tcW w:type="dxa" w:w="445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Intelligibilité vérifiée et cas limite utilisé</w:t>
            </w:r>
          </w:p>
        </w:tc>
        <w:tc>
          <w:tcPr>
            <w:tcW w:type="dxa" w:w="544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610" w:hRule="atLeast"/>
        </w:trPr>
        <w:tc>
          <w:tcPr>
            <w:tcW w:type="dxa" w:w="445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Pouvoir de suspension et mode dégradé</w:t>
            </w:r>
          </w:p>
        </w:tc>
        <w:tc>
          <w:tcPr>
            <w:tcW w:type="dxa" w:w="544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610" w:hRule="atLeast"/>
        </w:trPr>
        <w:tc>
          <w:tcPr>
            <w:tcW w:type="dxa" w:w="445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Préparateur, fonction et responsable de la décision</w:t>
            </w:r>
          </w:p>
        </w:tc>
        <w:tc>
          <w:tcPr>
            <w:tcW w:type="dxa" w:w="544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610" w:hRule="atLeast"/>
        </w:trPr>
        <w:tc>
          <w:tcPr>
            <w:tcW w:type="dxa" w:w="445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Date, motif du réexamen et date de fin prévue</w:t>
            </w:r>
          </w:p>
        </w:tc>
        <w:tc>
          <w:tcPr>
            <w:tcW w:type="dxa" w:w="544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</w:pPr>
      <w:r>
        <w:t>Les sept questions - Finalité et Mandat</w:t>
      </w:r>
    </w:p>
    <w:p>
      <w:pPr>
        <w:pStyle w:val="Heading2"/>
      </w:pPr>
      <w:r>
        <w:t>1. Finalité</w:t>
      </w:r>
    </w:p>
    <w:p>
      <w:pPr>
        <w:keepLines w:val="0"/>
      </w:pPr>
      <w:r>
        <w:rPr>
          <w:rFonts w:ascii="DejaVu Sans" w:hAnsi="DejaVu Sans" w:eastAsia="DejaVu Sans"/>
          <w:color w:val="1E2528"/>
          <w:sz w:val="15"/>
        </w:rPr>
        <w:t>Quel problème observable est traité, pour qui et selon quel critère d’amélioration ? Quelle solution de rechange moins intrusive et quel coût de la non-intervention ont été mis en regard ?</w:t>
      </w:r>
    </w:p>
    <w:tbl>
      <w:tblPr>
        <w:tblW w:type="dxa" w:w="989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9890"/>
      </w:tblGrid>
      <w:tr>
        <w:trPr>
          <w:tblHeader w:val="true"/>
          <w:cantSplit/>
        </w:trPr>
        <w:tc>
          <w:tcPr>
            <w:tcW w:type="dxa" w:w="989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Faits, documents, version et date des éléments probants :</w:t>
            </w:r>
          </w:p>
        </w:tc>
      </w:tr>
      <w:tr>
        <w:trPr>
          <w:cantSplit/>
          <w:trHeight w:val="1150" w:hRule="atLeast"/>
        </w:trPr>
        <w:tc>
          <w:tcPr>
            <w:tcW w:type="dxa" w:w="989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pPr>
        <w:spacing w:after="40"/>
      </w:pPr>
      <w:r>
        <w:rPr>
          <w:rFonts w:ascii="DejaVu Sans" w:hAnsi="DejaVu Sans" w:eastAsia="DejaVu Sans"/>
          <w:b/>
          <w:color w:val="123044"/>
          <w:sz w:val="14"/>
        </w:rPr>
        <w:t>État de la preuve :  [ ] Suffisante   [ ] Non résolue   [ ] Bloquante</w:t>
      </w:r>
    </w:p>
    <w:tbl>
      <w:tblPr>
        <w:tblW w:type="dxa" w:w="989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9890"/>
      </w:tblGrid>
      <w:tr>
        <w:trPr>
          <w:tblHeader w:val="true"/>
          <w:cantSplit/>
        </w:trPr>
        <w:tc>
          <w:tcPr>
            <w:tcW w:type="dxa" w:w="989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Motif, limite du périmètre et, si une preuve manque, responsable, échéance et conséquence (y compris toute interruption nécessaire) :</w:t>
            </w:r>
          </w:p>
        </w:tc>
      </w:tr>
      <w:tr>
        <w:trPr>
          <w:cantSplit/>
          <w:trHeight w:val="720" w:hRule="atLeast"/>
        </w:trPr>
        <w:tc>
          <w:tcPr>
            <w:tcW w:type="dxa" w:w="989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pPr>
        <w:pStyle w:val="Heading2"/>
      </w:pPr>
      <w:r>
        <w:t>2. Mandat</w:t>
      </w:r>
    </w:p>
    <w:p>
      <w:pPr>
        <w:keepLines w:val="0"/>
      </w:pPr>
      <w:r>
        <w:rPr>
          <w:rFonts w:ascii="DejaVu Sans" w:hAnsi="DejaVu Sans" w:eastAsia="DejaVu Sans"/>
          <w:color w:val="1E2528"/>
          <w:sz w:val="15"/>
        </w:rPr>
        <w:t>Pour chaque tâche, le système fonctionne-t-il en mode Assiste, Propose, Décide ou Exécute ? Quelles données, quelles personnes, quels lieux, quelle durée et quel volume délimitent ce pouvoir ; quelles actions lui sont interdites et qui peut l’arrêter ?</w:t>
      </w:r>
    </w:p>
    <w:tbl>
      <w:tblPr>
        <w:tblW w:type="dxa" w:w="989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9890"/>
      </w:tblGrid>
      <w:tr>
        <w:trPr>
          <w:tblHeader w:val="true"/>
          <w:cantSplit/>
        </w:trPr>
        <w:tc>
          <w:tcPr>
            <w:tcW w:type="dxa" w:w="989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Faits, documents, version et date des éléments probants :</w:t>
            </w:r>
          </w:p>
        </w:tc>
      </w:tr>
      <w:tr>
        <w:trPr>
          <w:cantSplit/>
          <w:trHeight w:val="1150" w:hRule="atLeast"/>
        </w:trPr>
        <w:tc>
          <w:tcPr>
            <w:tcW w:type="dxa" w:w="989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pPr>
        <w:spacing w:after="40"/>
      </w:pPr>
      <w:r>
        <w:rPr>
          <w:rFonts w:ascii="DejaVu Sans" w:hAnsi="DejaVu Sans" w:eastAsia="DejaVu Sans"/>
          <w:b/>
          <w:color w:val="123044"/>
          <w:sz w:val="14"/>
        </w:rPr>
        <w:t>État de la preuve :  [ ] Suffisante   [ ] Non résolue   [ ] Bloquante</w:t>
      </w:r>
    </w:p>
    <w:tbl>
      <w:tblPr>
        <w:tblW w:type="dxa" w:w="989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9890"/>
      </w:tblGrid>
      <w:tr>
        <w:trPr>
          <w:tblHeader w:val="true"/>
          <w:cantSplit/>
        </w:trPr>
        <w:tc>
          <w:tcPr>
            <w:tcW w:type="dxa" w:w="989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Motif, limite du périmètre et, si une preuve manque, responsable, échéance et conséquence (y compris toute interruption nécessaire) :</w:t>
            </w:r>
          </w:p>
        </w:tc>
      </w:tr>
      <w:tr>
        <w:trPr>
          <w:cantSplit/>
          <w:trHeight w:val="720" w:hRule="atLeast"/>
        </w:trPr>
        <w:tc>
          <w:tcPr>
            <w:tcW w:type="dxa" w:w="989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</w:pPr>
      <w:r>
        <w:t>Les sept questions - Preuve et Répartition</w:t>
      </w:r>
    </w:p>
    <w:p>
      <w:pPr>
        <w:pStyle w:val="Heading2"/>
      </w:pPr>
      <w:r>
        <w:t>3. Preuve</w:t>
      </w:r>
    </w:p>
    <w:p>
      <w:pPr>
        <w:keepLines w:val="0"/>
      </w:pPr>
      <w:r>
        <w:rPr>
          <w:rFonts w:ascii="DejaVu Sans" w:hAnsi="DejaVu Sans" w:eastAsia="DejaVu Sans"/>
          <w:color w:val="1E2528"/>
          <w:sz w:val="15"/>
        </w:rPr>
        <w:t>Quelles sources, quelles données, quelles performances en contexte, quelles limites et quels cas de défaillance étayent ce choix ? L’intelligibilité a-t-elle été vérifiée, dans le temps disponible, sur un cas ordinaire et un cas limite ?</w:t>
      </w:r>
    </w:p>
    <w:tbl>
      <w:tblPr>
        <w:tblW w:type="dxa" w:w="989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9890"/>
      </w:tblGrid>
      <w:tr>
        <w:trPr>
          <w:tblHeader w:val="true"/>
          <w:cantSplit/>
        </w:trPr>
        <w:tc>
          <w:tcPr>
            <w:tcW w:type="dxa" w:w="989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Faits, documents, version et date des éléments probants :</w:t>
            </w:r>
          </w:p>
        </w:tc>
      </w:tr>
      <w:tr>
        <w:trPr>
          <w:cantSplit/>
          <w:trHeight w:val="1150" w:hRule="atLeast"/>
        </w:trPr>
        <w:tc>
          <w:tcPr>
            <w:tcW w:type="dxa" w:w="989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pPr>
        <w:spacing w:after="40"/>
      </w:pPr>
      <w:r>
        <w:rPr>
          <w:rFonts w:ascii="DejaVu Sans" w:hAnsi="DejaVu Sans" w:eastAsia="DejaVu Sans"/>
          <w:b/>
          <w:color w:val="123044"/>
          <w:sz w:val="14"/>
        </w:rPr>
        <w:t>État de la preuve :  [ ] Suffisante   [ ] Non résolue   [ ] Bloquante</w:t>
      </w:r>
    </w:p>
    <w:tbl>
      <w:tblPr>
        <w:tblW w:type="dxa" w:w="989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9890"/>
      </w:tblGrid>
      <w:tr>
        <w:trPr>
          <w:tblHeader w:val="true"/>
          <w:cantSplit/>
        </w:trPr>
        <w:tc>
          <w:tcPr>
            <w:tcW w:type="dxa" w:w="989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Motif, limite du périmètre et, si une preuve manque, responsable, échéance et conséquence (y compris toute interruption nécessaire) :</w:t>
            </w:r>
          </w:p>
        </w:tc>
      </w:tr>
      <w:tr>
        <w:trPr>
          <w:cantSplit/>
          <w:trHeight w:val="720" w:hRule="atLeast"/>
        </w:trPr>
        <w:tc>
          <w:tcPr>
            <w:tcW w:type="dxa" w:w="989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pPr>
        <w:pStyle w:val="Heading2"/>
      </w:pPr>
      <w:r>
        <w:t>4. Répartition</w:t>
      </w:r>
    </w:p>
    <w:p>
      <w:pPr>
        <w:keepLines w:val="0"/>
      </w:pPr>
      <w:r>
        <w:rPr>
          <w:rFonts w:ascii="DejaVu Sans" w:hAnsi="DejaVu Sans" w:eastAsia="DejaVu Sans"/>
          <w:color w:val="1E2528"/>
          <w:sz w:val="15"/>
        </w:rPr>
        <w:t>Qui retire un bénéfice, gagne du temps ou acquiert du pouvoir, et sur qui pèsent le travail, le risque, les coûts matériels, la formation ou les difficultés de contestation ? Qui paie pendant la correction, et qui paie si la délégation n’est finalement pas mise en œuvre ?</w:t>
      </w:r>
    </w:p>
    <w:tbl>
      <w:tblPr>
        <w:tblW w:type="dxa" w:w="989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9890"/>
      </w:tblGrid>
      <w:tr>
        <w:trPr>
          <w:tblHeader w:val="true"/>
          <w:cantSplit/>
        </w:trPr>
        <w:tc>
          <w:tcPr>
            <w:tcW w:type="dxa" w:w="989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Faits, documents, version et date des éléments probants :</w:t>
            </w:r>
          </w:p>
        </w:tc>
      </w:tr>
      <w:tr>
        <w:trPr>
          <w:cantSplit/>
          <w:trHeight w:val="1150" w:hRule="atLeast"/>
        </w:trPr>
        <w:tc>
          <w:tcPr>
            <w:tcW w:type="dxa" w:w="989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pPr>
        <w:spacing w:after="40"/>
      </w:pPr>
      <w:r>
        <w:rPr>
          <w:rFonts w:ascii="DejaVu Sans" w:hAnsi="DejaVu Sans" w:eastAsia="DejaVu Sans"/>
          <w:b/>
          <w:color w:val="123044"/>
          <w:sz w:val="14"/>
        </w:rPr>
        <w:t>État de la preuve :  [ ] Suffisante   [ ] Non résolue   [ ] Bloquante</w:t>
      </w:r>
    </w:p>
    <w:tbl>
      <w:tblPr>
        <w:tblW w:type="dxa" w:w="989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9890"/>
      </w:tblGrid>
      <w:tr>
        <w:trPr>
          <w:tblHeader w:val="true"/>
          <w:cantSplit/>
        </w:trPr>
        <w:tc>
          <w:tcPr>
            <w:tcW w:type="dxa" w:w="989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Motif, limite du périmètre et, si une preuve manque, responsable, échéance et conséquence (y compris toute interruption nécessaire) :</w:t>
            </w:r>
          </w:p>
        </w:tc>
      </w:tr>
      <w:tr>
        <w:trPr>
          <w:cantSplit/>
          <w:trHeight w:val="720" w:hRule="atLeast"/>
        </w:trPr>
        <w:tc>
          <w:tcPr>
            <w:tcW w:type="dxa" w:w="989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</w:pPr>
      <w:r>
        <w:t>Les sept questions - Préjudice et Recours</w:t>
      </w:r>
    </w:p>
    <w:p>
      <w:pPr>
        <w:pStyle w:val="Heading2"/>
      </w:pPr>
      <w:r>
        <w:t>5. Préjudice</w:t>
      </w:r>
    </w:p>
    <w:p>
      <w:pPr>
        <w:keepLines w:val="0"/>
      </w:pPr>
      <w:r>
        <w:rPr>
          <w:rFonts w:ascii="DejaVu Sans" w:hAnsi="DejaVu Sans" w:eastAsia="DejaVu Sans"/>
          <w:color w:val="1E2528"/>
          <w:sz w:val="15"/>
        </w:rPr>
        <w:t>Quelle défaillance plausible peut survenir, quelles en sont la gravité et la réversibilité, et combien de temps s’écoule avant qu’elle ne devienne difficile à corriger ? Quel seuil est inacceptable et quelle réparation reste possible ?</w:t>
      </w:r>
    </w:p>
    <w:tbl>
      <w:tblPr>
        <w:tblW w:type="dxa" w:w="989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9890"/>
      </w:tblGrid>
      <w:tr>
        <w:trPr>
          <w:tblHeader w:val="true"/>
          <w:cantSplit/>
        </w:trPr>
        <w:tc>
          <w:tcPr>
            <w:tcW w:type="dxa" w:w="989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Faits, documents, version et date des éléments probants :</w:t>
            </w:r>
          </w:p>
        </w:tc>
      </w:tr>
      <w:tr>
        <w:trPr>
          <w:cantSplit/>
          <w:trHeight w:val="1150" w:hRule="atLeast"/>
        </w:trPr>
        <w:tc>
          <w:tcPr>
            <w:tcW w:type="dxa" w:w="989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pPr>
        <w:spacing w:after="40"/>
      </w:pPr>
      <w:r>
        <w:rPr>
          <w:rFonts w:ascii="DejaVu Sans" w:hAnsi="DejaVu Sans" w:eastAsia="DejaVu Sans"/>
          <w:b/>
          <w:color w:val="123044"/>
          <w:sz w:val="14"/>
        </w:rPr>
        <w:t>État de la preuve :  [ ] Suffisante   [ ] Non résolue   [ ] Bloquante</w:t>
      </w:r>
    </w:p>
    <w:tbl>
      <w:tblPr>
        <w:tblW w:type="dxa" w:w="989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9890"/>
      </w:tblGrid>
      <w:tr>
        <w:trPr>
          <w:tblHeader w:val="true"/>
          <w:cantSplit/>
        </w:trPr>
        <w:tc>
          <w:tcPr>
            <w:tcW w:type="dxa" w:w="989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Motif, limite du périmètre et, si une preuve manque, responsable, échéance et conséquence (y compris toute interruption nécessaire) :</w:t>
            </w:r>
          </w:p>
        </w:tc>
      </w:tr>
      <w:tr>
        <w:trPr>
          <w:cantSplit/>
          <w:trHeight w:val="720" w:hRule="atLeast"/>
        </w:trPr>
        <w:tc>
          <w:tcPr>
            <w:tcW w:type="dxa" w:w="989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pPr>
        <w:pStyle w:val="Heading2"/>
      </w:pPr>
      <w:r>
        <w:t>6. Recours</w:t>
      </w:r>
    </w:p>
    <w:p>
      <w:pPr>
        <w:keepLines w:val="0"/>
      </w:pPr>
      <w:r>
        <w:rPr>
          <w:rFonts w:ascii="DejaVu Sans" w:hAnsi="DejaVu Sans" w:eastAsia="DejaVu Sans"/>
          <w:color w:val="1E2528"/>
          <w:sz w:val="15"/>
        </w:rPr>
        <w:t>La personne à qui le résultat s’impose reçoit-elle une notification compréhensible, a-t-elle accès aux éléments susceptibles d’être corrigés et peut-elle joindre à temps une personne compétente chargée du réexamen, habilitée à suspendre l’application de ce résultat, à le modifier et à communiquer une décision motivée ?</w:t>
      </w:r>
    </w:p>
    <w:tbl>
      <w:tblPr>
        <w:tblW w:type="dxa" w:w="989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9890"/>
      </w:tblGrid>
      <w:tr>
        <w:trPr>
          <w:tblHeader w:val="true"/>
          <w:cantSplit/>
        </w:trPr>
        <w:tc>
          <w:tcPr>
            <w:tcW w:type="dxa" w:w="989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Faits, documents, version et date des éléments probants :</w:t>
            </w:r>
          </w:p>
        </w:tc>
      </w:tr>
      <w:tr>
        <w:trPr>
          <w:cantSplit/>
          <w:trHeight w:val="1150" w:hRule="atLeast"/>
        </w:trPr>
        <w:tc>
          <w:tcPr>
            <w:tcW w:type="dxa" w:w="989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pPr>
        <w:spacing w:after="40"/>
      </w:pPr>
      <w:r>
        <w:rPr>
          <w:rFonts w:ascii="DejaVu Sans" w:hAnsi="DejaVu Sans" w:eastAsia="DejaVu Sans"/>
          <w:b/>
          <w:color w:val="123044"/>
          <w:sz w:val="14"/>
        </w:rPr>
        <w:t>État de la preuve :  [ ] Suffisante   [ ] Non résolue   [ ] Bloquante</w:t>
      </w:r>
    </w:p>
    <w:tbl>
      <w:tblPr>
        <w:tblW w:type="dxa" w:w="989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9890"/>
      </w:tblGrid>
      <w:tr>
        <w:trPr>
          <w:tblHeader w:val="true"/>
          <w:cantSplit/>
        </w:trPr>
        <w:tc>
          <w:tcPr>
            <w:tcW w:type="dxa" w:w="989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Motif, limite du périmètre et, si une preuve manque, responsable, échéance et conséquence (y compris toute interruption nécessaire) :</w:t>
            </w:r>
          </w:p>
        </w:tc>
      </w:tr>
      <w:tr>
        <w:trPr>
          <w:cantSplit/>
          <w:trHeight w:val="720" w:hRule="atLeast"/>
        </w:trPr>
        <w:tc>
          <w:tcPr>
            <w:tcW w:type="dxa" w:w="989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</w:pPr>
      <w:r>
        <w:t>Les sept questions - Sortie et suivi</w:t>
      </w:r>
    </w:p>
    <w:p>
      <w:pPr>
        <w:pStyle w:val="Heading2"/>
      </w:pPr>
      <w:r>
        <w:t>7. Sortie</w:t>
      </w:r>
    </w:p>
    <w:p>
      <w:pPr>
        <w:keepLines w:val="0"/>
      </w:pPr>
      <w:r>
        <w:rPr>
          <w:rFonts w:ascii="DejaVu Sans" w:hAnsi="DejaVu Sans" w:eastAsia="DejaVu Sans"/>
          <w:color w:val="1E2528"/>
          <w:sz w:val="15"/>
        </w:rPr>
        <w:t>Le système peut-il être arrêté ou remplacé tout en préservant les données, les droits et les services essentiels ? Les configurations, les autorisations et les registres sont-ils réutilisables ; le mode dégradé a-t-il été testé ; quand a eu lieu le dernier test en conditions réelles et qui en supporte le coût ?</w:t>
      </w:r>
    </w:p>
    <w:tbl>
      <w:tblPr>
        <w:tblW w:type="dxa" w:w="989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9890"/>
      </w:tblGrid>
      <w:tr>
        <w:trPr>
          <w:tblHeader w:val="true"/>
          <w:cantSplit/>
        </w:trPr>
        <w:tc>
          <w:tcPr>
            <w:tcW w:type="dxa" w:w="989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Faits, documents, version et date des éléments probants :</w:t>
            </w:r>
          </w:p>
        </w:tc>
      </w:tr>
      <w:tr>
        <w:trPr>
          <w:cantSplit/>
          <w:trHeight w:val="1150" w:hRule="atLeast"/>
        </w:trPr>
        <w:tc>
          <w:tcPr>
            <w:tcW w:type="dxa" w:w="989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pPr>
        <w:spacing w:after="40"/>
      </w:pPr>
      <w:r>
        <w:rPr>
          <w:rFonts w:ascii="DejaVu Sans" w:hAnsi="DejaVu Sans" w:eastAsia="DejaVu Sans"/>
          <w:b/>
          <w:color w:val="123044"/>
          <w:sz w:val="14"/>
        </w:rPr>
        <w:t>État de la preuve :  [ ] Suffisante   [ ] Non résolue   [ ] Bloquante</w:t>
      </w:r>
    </w:p>
    <w:tbl>
      <w:tblPr>
        <w:tblW w:type="dxa" w:w="989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9890"/>
      </w:tblGrid>
      <w:tr>
        <w:trPr>
          <w:tblHeader w:val="true"/>
          <w:cantSplit/>
        </w:trPr>
        <w:tc>
          <w:tcPr>
            <w:tcW w:type="dxa" w:w="989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Motif, limite du périmètre et, si une preuve manque, responsable, échéance et conséquence (y compris toute interruption nécessaire) :</w:t>
            </w:r>
          </w:p>
        </w:tc>
      </w:tr>
      <w:tr>
        <w:trPr>
          <w:cantSplit/>
          <w:trHeight w:val="720" w:hRule="atLeast"/>
        </w:trPr>
        <w:tc>
          <w:tcPr>
            <w:tcW w:type="dxa" w:w="989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pPr>
        <w:pStyle w:val="Heading2"/>
      </w:pPr>
      <w:r>
        <w:t>Passage au suivi du cycle de vie</w:t>
      </w:r>
    </w:p>
    <w:tbl>
      <w:tblPr>
        <w:tblW w:type="dxa" w:w="989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4253"/>
        <w:gridCol w:w="5637"/>
      </w:tblGrid>
      <w:tr>
        <w:trPr>
          <w:tblHeader w:val="true"/>
          <w:cantSplit/>
        </w:trPr>
        <w:tc>
          <w:tcPr>
            <w:tcW w:type="dxa" w:w="425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Champ de suivi</w:t>
            </w:r>
          </w:p>
        </w:tc>
        <w:tc>
          <w:tcPr>
            <w:tcW w:type="dxa" w:w="5637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Mise à jour</w:t>
            </w:r>
          </w:p>
        </w:tc>
      </w:tr>
      <w:tr>
        <w:trPr>
          <w:cantSplit/>
          <w:trHeight w:val="440" w:hRule="atLeast"/>
        </w:trPr>
        <w:tc>
          <w:tcPr>
            <w:tcW w:type="dxa" w:w="425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Mandat, mode et version en vigueur</w:t>
            </w:r>
          </w:p>
        </w:tc>
        <w:tc>
          <w:tcPr>
            <w:tcW w:type="dxa" w:w="5637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440" w:hRule="atLeast"/>
        </w:trPr>
        <w:tc>
          <w:tcPr>
            <w:tcW w:type="dxa" w:w="425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Bénéfices et préjudices observés par rapport à la fiche</w:t>
            </w:r>
          </w:p>
        </w:tc>
        <w:tc>
          <w:tcPr>
            <w:tcW w:type="dxa" w:w="5637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440" w:hRule="atLeast"/>
        </w:trPr>
        <w:tc>
          <w:tcPr>
            <w:tcW w:type="dxa" w:w="425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Exceptions, incidents, demandes de Recours et corrections</w:t>
            </w:r>
          </w:p>
        </w:tc>
        <w:tc>
          <w:tcPr>
            <w:tcW w:type="dxa" w:w="5637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440" w:hRule="atLeast"/>
        </w:trPr>
        <w:tc>
          <w:tcPr>
            <w:tcW w:type="dxa" w:w="425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Charge de supervision, formation et compétence résiduelle</w:t>
            </w:r>
          </w:p>
        </w:tc>
        <w:tc>
          <w:tcPr>
            <w:tcW w:type="dxa" w:w="5637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440" w:hRule="atLeast"/>
        </w:trPr>
        <w:tc>
          <w:tcPr>
            <w:tcW w:type="dxa" w:w="425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Dernier test de réversibilité : date, résultat et coût transféré</w:t>
            </w:r>
          </w:p>
        </w:tc>
        <w:tc>
          <w:tcPr>
            <w:tcW w:type="dxa" w:w="5637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440" w:hRule="atLeast"/>
        </w:trPr>
        <w:tc>
          <w:tcPr>
            <w:tcW w:type="dxa" w:w="425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Seuil de restriction ou d’interruption atteint</w:t>
            </w:r>
          </w:p>
        </w:tc>
        <w:tc>
          <w:tcPr>
            <w:tcW w:type="dxa" w:w="5637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440" w:hRule="atLeast"/>
        </w:trPr>
        <w:tc>
          <w:tcPr>
            <w:tcW w:type="dxa" w:w="425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Responsable et prochain réexamen</w:t>
            </w:r>
          </w:p>
        </w:tc>
        <w:tc>
          <w:tcPr>
            <w:tcW w:type="dxa" w:w="5637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</w:pPr>
      <w:r>
        <w:t>Décision et conditions</w:t>
      </w:r>
    </w:p>
    <w:tbl>
      <w:tblPr>
        <w:tblW w:type="dxa" w:w="989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3560"/>
        <w:gridCol w:w="6330"/>
      </w:tblGrid>
      <w:tr>
        <w:trPr>
          <w:tblHeader w:val="true"/>
          <w:cantSplit/>
        </w:trPr>
        <w:tc>
          <w:tcPr>
            <w:tcW w:type="dxa" w:w="356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Champ</w:t>
            </w:r>
          </w:p>
        </w:tc>
        <w:tc>
          <w:tcPr>
            <w:tcW w:type="dxa" w:w="633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Décision et conditions</w:t>
            </w:r>
          </w:p>
        </w:tc>
      </w:tr>
      <w:tr>
        <w:trPr>
          <w:cantSplit/>
          <w:trHeight w:val="520" w:hRule="atLeast"/>
        </w:trPr>
        <w:tc>
          <w:tcPr>
            <w:tcW w:type="dxa" w:w="356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Décision organisationnelle</w:t>
            </w:r>
          </w:p>
        </w:tc>
        <w:tc>
          <w:tcPr>
            <w:tcW w:type="dxa" w:w="633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[ ] Poursuivre [ ] Limiter et tester [ ] Ne pas déléguer [ ] Interrompre</w:t>
            </w:r>
          </w:p>
        </w:tc>
      </w:tr>
      <w:tr>
        <w:trPr>
          <w:cantSplit/>
          <w:trHeight w:val="520" w:hRule="atLeast"/>
        </w:trPr>
        <w:tc>
          <w:tcPr>
            <w:tcW w:type="dxa" w:w="356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Motivation</w:t>
            </w:r>
          </w:p>
        </w:tc>
        <w:tc>
          <w:tcPr>
            <w:tcW w:type="dxa" w:w="633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Élément probant décisif, conditions Bloquantes, coût de l’adoption et coût de la non-adoption.</w:t>
            </w:r>
          </w:p>
        </w:tc>
      </w:tr>
      <w:tr>
        <w:trPr>
          <w:cantSplit/>
          <w:trHeight w:val="520" w:hRule="atLeast"/>
        </w:trPr>
        <w:tc>
          <w:tcPr>
            <w:tcW w:type="dxa" w:w="356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Périmètre autorisé</w:t>
            </w:r>
          </w:p>
        </w:tc>
        <w:tc>
          <w:tcPr>
            <w:tcW w:type="dxa" w:w="633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Tâches, modes, données, personnes, lieux, durée et volume.</w:t>
            </w:r>
          </w:p>
        </w:tc>
      </w:tr>
      <w:tr>
        <w:trPr>
          <w:cantSplit/>
          <w:trHeight w:val="520" w:hRule="atLeast"/>
        </w:trPr>
        <w:tc>
          <w:tcPr>
            <w:tcW w:type="dxa" w:w="356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Actions interdites ou réservées</w:t>
            </w:r>
          </w:p>
        </w:tc>
        <w:tc>
          <w:tcPr>
            <w:tcW w:type="dxa" w:w="633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Ce qui reste confié à une personne ou placé hors du système.</w:t>
            </w:r>
          </w:p>
        </w:tc>
      </w:tr>
      <w:tr>
        <w:trPr>
          <w:cantSplit/>
          <w:trHeight w:val="520" w:hRule="atLeast"/>
        </w:trPr>
        <w:tc>
          <w:tcPr>
            <w:tcW w:type="dxa" w:w="356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Conditions préalables au lancement</w:t>
            </w:r>
          </w:p>
        </w:tc>
        <w:tc>
          <w:tcPr>
            <w:tcW w:type="dxa" w:w="633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Preuve manquante, responsable, échéance et conséquence en cas de non-respect.</w:t>
            </w:r>
          </w:p>
        </w:tc>
      </w:tr>
      <w:tr>
        <w:trPr>
          <w:cantSplit/>
          <w:trHeight w:val="520" w:hRule="atLeast"/>
        </w:trPr>
        <w:tc>
          <w:tcPr>
            <w:tcW w:type="dxa" w:w="356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Suivi</w:t>
            </w:r>
          </w:p>
        </w:tc>
        <w:tc>
          <w:tcPr>
            <w:tcW w:type="dxa" w:w="633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Indicateurs, version, exceptions, charge de supervision et seuils.</w:t>
            </w:r>
          </w:p>
        </w:tc>
      </w:tr>
      <w:tr>
        <w:trPr>
          <w:cantSplit/>
          <w:trHeight w:val="520" w:hRule="atLeast"/>
        </w:trPr>
        <w:tc>
          <w:tcPr>
            <w:tcW w:type="dxa" w:w="356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Mode dégradé et interruption</w:t>
            </w:r>
          </w:p>
        </w:tc>
        <w:tc>
          <w:tcPr>
            <w:tcW w:type="dxa" w:w="633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Service maintenu, signal, personne habilitée et délai maximal.</w:t>
            </w:r>
          </w:p>
        </w:tc>
      </w:tr>
      <w:tr>
        <w:trPr>
          <w:cantSplit/>
          <w:trHeight w:val="520" w:hRule="atLeast"/>
        </w:trPr>
        <w:tc>
          <w:tcPr>
            <w:tcW w:type="dxa" w:w="356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Recours et correction</w:t>
            </w:r>
          </w:p>
        </w:tc>
        <w:tc>
          <w:tcPr>
            <w:tcW w:type="dxa" w:w="633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Canal, responsable de la décision, délai, modification possible et propagation de la correction.</w:t>
            </w:r>
          </w:p>
        </w:tc>
      </w:tr>
      <w:tr>
        <w:trPr>
          <w:cantSplit/>
          <w:trHeight w:val="520" w:hRule="atLeast"/>
        </w:trPr>
        <w:tc>
          <w:tcPr>
            <w:tcW w:type="dxa" w:w="356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Solution de rechange maintenue et coût du non</w:t>
            </w:r>
          </w:p>
        </w:tc>
        <w:tc>
          <w:tcPr>
            <w:tcW w:type="dxa" w:w="633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Travail, service ou processus disponible si la délégation ne commence pas ou est interrompue.</w:t>
            </w:r>
          </w:p>
        </w:tc>
      </w:tr>
      <w:tr>
        <w:trPr>
          <w:cantSplit/>
          <w:trHeight w:val="520" w:hRule="atLeast"/>
        </w:trPr>
        <w:tc>
          <w:tcPr>
            <w:tcW w:type="dxa" w:w="356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Réexamen</w:t>
            </w:r>
          </w:p>
        </w:tc>
        <w:tc>
          <w:tcPr>
            <w:tcW w:type="dxa" w:w="633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Date ou événement déclenchant un réexamen anticipé ; repartir de la version précédente et montrer les éléments probants, le seuil et les changements.</w:t>
            </w:r>
          </w:p>
        </w:tc>
      </w:tr>
      <w:tr>
        <w:trPr>
          <w:cantSplit/>
          <w:trHeight w:val="520" w:hRule="atLeast"/>
        </w:trPr>
        <w:tc>
          <w:tcPr>
            <w:tcW w:type="dxa" w:w="356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Responsabilité</w:t>
            </w:r>
          </w:p>
        </w:tc>
        <w:tc>
          <w:tcPr>
            <w:tcW w:type="dxa" w:w="633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Nom, fonction, désaccord consigné, signature et date.</w:t>
            </w:r>
          </w:p>
        </w:tc>
      </w:tr>
    </w:tbl>
    <w:p>
      <w:pPr>
        <w:spacing w:after="0"/>
      </w:pPr>
    </w:p>
    <w:sectPr>
      <w:headerReference w:type="default" r:id="rId9"/>
      <w:footerReference w:type="default" r:id="rId10"/>
      <w:footerReference w:type="first" r:id="rId11"/>
      <w:headerReference w:type="first" r:id="rId13"/>
      <w:pgSz w:w="11905" w:h="16838"/>
      <w:pgMar w:top="893" w:right="1008" w:bottom="893" w:left="1008" w:header="432" w:footer="432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9749" w:val="left"/>
      </w:tabs>
      <w:spacing w:before="0" w:after="0"/>
    </w:pPr>
    <w:r>
      <w:rPr>
        <w:rFonts w:ascii="DejaVu Sans" w:hAnsi="DejaVu Sans" w:eastAsia="DejaVu Sans"/>
        <w:color w:val="5D6870"/>
        <w:sz w:val="14"/>
      </w:rPr>
      <w:t>2050 - FR-FR-R1 - A4 - Instantané de l’édition française - juillet 2026</w:t>
    </w:r>
    <w:r>
      <w:tab/>
    </w:r>
    <w:r>
      <w:rPr>
        <w:rFonts w:ascii="DejaVu Sans" w:hAnsi="DejaVu Sans" w:eastAsia="DejaVu Sans"/>
        <w:color w:val="5D6870"/>
        <w:sz w:val="16"/>
      </w:rPr>
      <w:fldChar w:fldCharType="begin"/>
      <w:instrText xml:space="preserve"> PAGE </w:instrText>
      <w:fldChar w:fldCharType="separate"/>
      <w:t>1</w:t>
      <w:fldChar w:fldCharType="end"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DejaVu Sans" w:hAnsi="DejaVu Sans" w:eastAsia="DejaVu Sans"/>
        <w:color w:val="5D6870"/>
        <w:sz w:val="15"/>
      </w:rPr>
      <w:t>https://www.corneritaliano.com/fr/2050/ressources/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DejaVu Sans" w:hAnsi="DejaVu Sans" w:eastAsia="DejaVu Sans"/>
        <w:b/>
        <w:color w:val="B54B2A"/>
        <w:sz w:val="15"/>
      </w:rPr>
      <w:t xml:space="preserve">2050  |  RESSOURCES OFFICIELLES  |  </w:t>
    </w:r>
    <w:r>
      <w:rPr>
        <w:rFonts w:ascii="DejaVu Sans" w:hAnsi="DejaVu Sans" w:eastAsia="DejaVu Sans"/>
        <w:color w:val="5D6870"/>
        <w:sz w:val="15"/>
      </w:rPr>
      <w:t>Cahier opérationnel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60" w:line="252" w:lineRule="auto"/>
    </w:pPr>
    <w:rPr>
      <w:rFonts w:ascii="DejaVu Sans" w:hAnsi="DejaVu Sans"/>
      <w:color w:val="1E2528"/>
      <w:sz w:val="1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8" w:after="104"/>
      <w:outlineLvl w:val="0"/>
    </w:pPr>
    <w:rPr>
      <w:rFonts w:asciiTheme="majorHAnsi" w:eastAsiaTheme="majorEastAsia" w:hAnsiTheme="majorHAnsi" w:cstheme="majorBidi" w:ascii="DejaVu Sans" w:hAnsi="DejaVu Sans"/>
      <w:b/>
      <w:bCs/>
      <w:color w:val="123044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56" w:after="78"/>
      <w:outlineLvl w:val="1"/>
    </w:pPr>
    <w:rPr>
      <w:rFonts w:asciiTheme="majorHAnsi" w:eastAsiaTheme="majorEastAsia" w:hAnsiTheme="majorHAnsi" w:cstheme="majorBidi" w:ascii="DejaVu Sans" w:hAnsi="DejaVu Sans"/>
      <w:b/>
      <w:bCs/>
      <w:color w:val="B54B2A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17" w:after="52"/>
      <w:outlineLvl w:val="2"/>
    </w:pPr>
    <w:rPr>
      <w:rFonts w:asciiTheme="majorHAnsi" w:eastAsiaTheme="majorEastAsia" w:hAnsiTheme="majorHAnsi" w:cstheme="majorBidi" w:ascii="DejaVu Sans" w:hAnsi="DejaVu Sans"/>
      <w:b/>
      <w:bCs/>
      <w:color w:val="234C61"/>
      <w:sz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04" w:line="240" w:lineRule="auto" w:before="0"/>
      <w:contextualSpacing/>
    </w:pPr>
    <w:rPr>
      <w:rFonts w:asciiTheme="majorHAnsi" w:eastAsiaTheme="majorEastAsia" w:hAnsiTheme="majorHAnsi" w:cstheme="majorBidi" w:ascii="DejaVu Sans" w:hAnsi="DejaVu Sans"/>
      <w:b/>
      <w:color w:val="123044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156"/>
    </w:pPr>
    <w:rPr>
      <w:rFonts w:asciiTheme="majorHAnsi" w:eastAsiaTheme="majorEastAsia" w:hAnsiTheme="majorHAnsi" w:cstheme="majorBidi" w:ascii="DejaVu Sans" w:hAnsi="DejaVu Sans"/>
      <w:b w:val="0"/>
      <w:i/>
      <w:iCs/>
      <w:color w:val="5D6870"/>
      <w:spacing w:val="15"/>
      <w:sz w:val="2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hyperlink" Target="https://www.corneritaliano.com/fr/2050/ressources/" TargetMode="External"/><Relationship Id="rId13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Cahier opérationnel</dc:title>
  <dc:subject>Ressource complémentaire officielle de 2050</dc:subject>
  <dc:creator/>
  <cp:keywords>2050, intelligence artificielle, Test 2050, ressources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