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Protocole avancé de test à deux systèmes</w:t>
      </w:r>
    </w:p>
    <w:p>
      <w:pPr>
        <w:pStyle w:val="Subtitle"/>
        <w:jc w:val="center"/>
      </w:pPr>
      <w:r>
        <w:rPr>
          <w:rFonts w:ascii="DejaVu Sans" w:hAnsi="DejaVu Sans" w:eastAsia="DejaVu Sans"/>
          <w:color w:val="5D6870"/>
          <w:sz w:val="25"/>
        </w:rPr>
        <w:t>Comment utiliser un second système sans en faire une approbation automatique</w:t>
      </w:r>
    </w:p>
    <w:p>
      <w:pPr>
        <w:spacing w:before="440"/>
        <w:jc w:val="center"/>
      </w:pPr>
      <w:r>
        <w:rPr>
          <w:rFonts w:ascii="DejaVu Sans" w:hAnsi="DejaVu Sans" w:eastAsia="DejaVu Sans"/>
          <w:b/>
          <w:color w:val="B54B2A"/>
          <w:sz w:val="17"/>
        </w:rPr>
        <w:t>PROTOCOLE OPÉRATIONNEL ÉTENDU</w:t>
      </w:r>
    </w:p>
    <w:p>
      <w:pPr>
        <w:jc w:val="center"/>
      </w:pPr>
      <w:r>
        <w:rPr>
          <w:rFonts w:ascii="DejaVu Sans" w:hAnsi="DejaVu Sans" w:eastAsia="DejaVu Sans"/>
          <w:color w:val="234C61"/>
          <w:sz w:val="19"/>
        </w:rPr>
        <w:t>Instantané de l’édition française - juillet 2026 - Format US Letter (8,5 x 11 po)</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RÈGLE FONDAMENTALE  </w:t>
            </w:r>
            <w:r>
              <w:rPr>
                <w:rFonts w:ascii="DejaVu Sans" w:hAnsi="DejaVu Sans" w:eastAsia="DejaVu Sans"/>
                <w:color w:val="1E2528"/>
                <w:sz w:val="18"/>
              </w:rPr>
              <w:t>Un second système peut rechercher des erreurs ou des conditions contraires ; il ne constitue pas une vérification indépendante du seul fait qu’il porte un autre nom, utilise un autre modèle ou provient d’un autre fournisseur. Il apporte des éléments probants au Test ; il ne constitue ni un second Test ni un moyen d’additionner des voix.</w:t>
            </w:r>
          </w:p>
        </w:tc>
      </w:tr>
    </w:tbl>
    <w:p>
      <w:pPr>
        <w:spacing w:after="0"/>
      </w:pPr>
    </w:p>
    <w:p>
      <w:pPr>
        <w:keepLines w:val="0"/>
      </w:pPr>
      <w:r>
        <w:rPr>
          <w:rFonts w:ascii="DejaVu Sans" w:hAnsi="DejaVu Sans" w:eastAsia="DejaVu Sans"/>
          <w:color w:val="1E2528"/>
          <w:sz w:val="18"/>
        </w:rPr>
        <w:t>Avant de l’utiliser, définissez le résultat légitime, les actions interdites, les groupes exposés, le délai avant la survenue du préjudice, la divergence susceptible de modifier le résultat, la personne responsable et la condition d’interruption. Testez d’abord en mode fantôme avec des cas adverses, puis seulement, si cela se justifie, sur un volume limité et réversible. Un second système ne résout pas à lui seul les conflits de valeurs, l’inégalité d’accès, l’insuffisance de la capacité organisationnelle ni l’absence de Recours.</w:t>
      </w:r>
    </w:p>
    <w:p>
      <w:pPr>
        <w:pStyle w:val="Heading1"/>
      </w:pPr>
      <w:r>
        <w:t>1. Finalité et limites</w:t>
      </w:r>
    </w:p>
    <w:p>
      <w:pPr>
        <w:keepLines w:val="0"/>
      </w:pPr>
      <w:r>
        <w:rPr>
          <w:rFonts w:ascii="DejaVu Sans" w:hAnsi="DejaVu Sans" w:eastAsia="DejaVu Sans"/>
          <w:color w:val="1E2528"/>
          <w:sz w:val="18"/>
        </w:rPr>
        <w:t>Le protocole s’utilise lorsqu’une organisation souhaite associer son système principal à un second système capable de rechercher des erreurs, des conditions contraires ou des raisons de rouvrir le dossier. Le second système produit des éléments probants supplémentaires ; il ne remplace ni le Test 2050, ni le jugement compétent, ni le Recours, ni le pouvoir d’arrêt.</w:t>
      </w:r>
    </w:p>
    <w:p>
      <w:pPr>
        <w:keepLines w:val="0"/>
      </w:pPr>
      <w:r>
        <w:rPr>
          <w:rFonts w:ascii="DejaVu Sans" w:hAnsi="DejaVu Sans" w:eastAsia="DejaVu Sans"/>
          <w:color w:val="1E2528"/>
          <w:sz w:val="18"/>
        </w:rPr>
        <w:t>L’accord entre les systèmes ne démontre pas qu’un résultat est correct. Leur désaccord n’autorise aucune moyenne automatique. Tous deux peuvent dépendre des mêmes sources, données, étiquettes ou infrastructures et, par conséquent, échouer de la même manière.</w:t>
      </w:r>
    </w:p>
    <w:p>
      <w:pPr>
        <w:pStyle w:val="Heading1"/>
      </w:pPr>
      <w:r>
        <w:t>2. Fonctions et séparation des responsabilités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56"/>
        <w:gridCol w:w="7668"/>
      </w:tblGrid>
      <w:tr>
        <w:trPr>
          <w:tblHeader w:val="true"/>
          <w:cantSplit/>
        </w:trPr>
        <w:tc>
          <w:tcPr>
            <w:tcW w:type="dxa" w:w="255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Fonction</w:t>
            </w:r>
          </w:p>
        </w:tc>
        <w:tc>
          <w:tcPr>
            <w:tcW w:type="dxa" w:w="766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Responsabilité minimale</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Titulaire du Test</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Définit le problème, le Mandat, les seuils non compensables et la décision organisationnelle. Ne délègue pas l’approbation aux deux systèmes.</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Système A</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Exécute la tâche dans le périmètre expérimental et conserve les entrées, la version, les résultats, les sources et l’incertitude.</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Système B</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Recherche les erreurs, les conditions contraires ou les éléments probants susceptibles de modifier le résultat ; sa réponse n’est pas moyennée avec celle de A.</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Responsable du test</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Maintient séparés les données, registres, configurations et accès ; documente les dépendances communes et les divergences.</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Personne compétente chargée du réexamen</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Reconstitue le point contesté dans la fenêtre de contrôle disponible et peut restreindre, suspendre ou interrompre.</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Pouvoir d’arrêt</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Applique la conséquence consignée sans attendre le fournisseur ni un consensus informel.</w:t>
            </w:r>
          </w:p>
        </w:tc>
      </w:tr>
    </w:tbl>
    <w:p>
      <w:pPr>
        <w:spacing w:after="0"/>
      </w:pPr>
    </w:p>
    <w:p>
      <w:pPr>
        <w:pStyle w:val="Heading1"/>
      </w:pPr>
      <w:r>
        <w:t>3. Conditions préalables au test</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Avant l’activation</w:t>
            </w:r>
          </w:p>
        </w:tc>
        <w:tc>
          <w:tcPr>
            <w:tcW w:type="dxa" w:w="746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Question à résoudre</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Résultat légitime</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Quel résultat serait acceptable et quelle amélioration observable le justifierait ?</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Actions interdites</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Que ne peut décider ni exécuter aucun des deux systèmes ?</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Groupes exposés</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Qui bénéficie du système et qui assume le risque, le retard, le travail ou la difficulté de contestation ?</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Fenêtre de contrôle</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Combien de temps sépare l’erreur d’une conséquence qui devient difficile à corriger ?</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Divergence décisive</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Quel désaccord impose de rouvrir le dossier ou empêche la production de l’effet ?</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Interruption</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Qui peut arrêter le processus, à quel signal, et quel service se poursuit en mode dégradé ?</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Sortie</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Les données, registres, configurations et autorisations peuvent-ils être reconstitués sans le service principal ?</w:t>
            </w:r>
          </w:p>
        </w:tc>
      </w:tr>
    </w:tbl>
    <w:p>
      <w:pPr>
        <w:spacing w:after="0"/>
      </w:pPr>
    </w:p>
    <w:p>
      <w:pPr>
        <w:pStyle w:val="Heading1"/>
      </w:pPr>
      <w:r>
        <w:t>4. Bibliothèque de cas</w:t>
      </w:r>
    </w:p>
    <w:p>
      <w:pPr>
        <w:keepLines w:val="0"/>
      </w:pPr>
      <w:r>
        <w:rPr>
          <w:rFonts w:ascii="DejaVu Sans" w:hAnsi="DejaVu Sans" w:eastAsia="DejaVu Sans"/>
          <w:color w:val="1E2528"/>
          <w:sz w:val="18"/>
        </w:rPr>
        <w:t>Le test ne repose pas uniquement sur des échantillons commodes. Il constitue une bibliothèque versionnée de défaillances réalistes et conserve, pour chaque cas, le résultat légitime, ce qui pourrait le réfuter et la personne compétente capable de le reconstituer.</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54"/>
        <w:gridCol w:w="7770"/>
      </w:tblGrid>
      <w:tr>
        <w:trPr>
          <w:tblHeader w:val="true"/>
          <w:cantSplit/>
        </w:trPr>
        <w:tc>
          <w:tcPr>
            <w:tcW w:type="dxa" w:w="245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Famille de cas</w:t>
            </w:r>
          </w:p>
        </w:tc>
        <w:tc>
          <w:tcPr>
            <w:tcW w:type="dxa" w:w="77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Ce qui doit être mis à l’épreuve</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Cas ordinaire</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Performance attendue, temps réel et lisibilité de l’explication.</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Cas limite</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Condition rare mais plausible susceptible de modifier le résultat.</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Données incomplètes</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Capacité à reconnaître ce qui manque et à empêcher une confiance injustifiée.</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Instructions contradictoires</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Priorité, escalade et traçabilité de la règle appliquée.</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Erreur corrélée</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Source, annotation, dépendance ou métrique commune pouvant conduire les deux systèmes à la même erreur.</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Surcharge</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Concurrence, attention et capacité de réexamen au volume prévu.</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Indisponibilité</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Mode dégradé, continuité, reprise et coûts transférés aux usagers et au personnel.</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Sortie</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Réouverture d’un dossier hors du service principal avec des autorisations et configurations fonctionnelles.</w:t>
            </w:r>
          </w:p>
        </w:tc>
      </w:tr>
    </w:tbl>
    <w:p>
      <w:pPr>
        <w:spacing w:after="0"/>
      </w:pPr>
    </w:p>
    <w:p>
      <w:pPr>
        <w:pStyle w:val="Heading1"/>
      </w:pPr>
      <w:r>
        <w:t>5. Procédure par phases</w:t>
      </w:r>
    </w:p>
    <w:p>
      <w:pPr>
        <w:pStyle w:val="Heading2"/>
      </w:pPr>
      <w:r>
        <w:t>Phase 0 - Préparation</w:t>
      </w:r>
    </w:p>
    <w:p>
      <w:pPr>
        <w:keepLines w:val="0"/>
      </w:pPr>
      <w:r>
        <w:rPr>
          <w:rFonts w:ascii="DejaVu Sans" w:hAnsi="DejaVu Sans" w:eastAsia="DejaVu Sans"/>
          <w:color w:val="1E2528"/>
          <w:sz w:val="18"/>
        </w:rPr>
        <w:t>Renseignez Finalité, Mandat, Preuve, Répartition, Préjudice, Recours et Sortie. Consignez la divergence décisive, le seuil d’interruption, le mode dégradé et les données interdites avant d’observer la performance de l’un ou l’autre système.</w:t>
      </w:r>
    </w:p>
    <w:p>
      <w:pPr>
        <w:pStyle w:val="Heading2"/>
      </w:pPr>
      <w:r>
        <w:t>Phase 1 - Mode fantôme séparé</w:t>
      </w:r>
    </w:p>
    <w:p>
      <w:pPr>
        <w:keepLines w:val="0"/>
      </w:pPr>
      <w:r>
        <w:rPr>
          <w:rFonts w:ascii="DejaVu Sans" w:hAnsi="DejaVu Sans" w:eastAsia="DejaVu Sans"/>
          <w:color w:val="1E2528"/>
          <w:sz w:val="18"/>
        </w:rPr>
        <w:t>A et B observent les mêmes cas sans produire d’effets externes. Les entrées, versions, résultats, sources et registres restent séparés. Une personne compare les points décisifs, et non la seule similarité linguistique.</w:t>
      </w:r>
    </w:p>
    <w:p>
      <w:pPr>
        <w:pStyle w:val="Heading2"/>
      </w:pPr>
      <w:r>
        <w:t>Phase 2 - Erreurs corrélées</w:t>
      </w:r>
    </w:p>
    <w:p>
      <w:pPr>
        <w:keepLines w:val="0"/>
      </w:pPr>
      <w:r>
        <w:rPr>
          <w:rFonts w:ascii="DejaVu Sans" w:hAnsi="DejaVu Sans" w:eastAsia="DejaVu Sans"/>
          <w:color w:val="1E2528"/>
          <w:sz w:val="18"/>
        </w:rPr>
        <w:t>Introduisez des sources communes défectueuses, des données manquantes, des exceptions rares, des instructions contradictoires, des composants partagés et une indisponibilité. Vérifiez si l’accord masque une dépendance commune.</w:t>
      </w:r>
    </w:p>
    <w:p>
      <w:pPr>
        <w:pStyle w:val="Heading2"/>
      </w:pPr>
      <w:r>
        <w:t>Phase 3 - Reconstitution sous charge</w:t>
      </w:r>
    </w:p>
    <w:p>
      <w:pPr>
        <w:keepLines w:val="0"/>
      </w:pPr>
      <w:r>
        <w:rPr>
          <w:rFonts w:ascii="DejaVu Sans" w:hAnsi="DejaVu Sans" w:eastAsia="DejaVu Sans"/>
          <w:color w:val="1E2528"/>
          <w:sz w:val="18"/>
        </w:rPr>
        <w:t>Répétez le test avec le volume et la concurrence prévus. Mesurez le temps nécessaire pour trouver le fait qui modifie le résultat, comparer la solution de rechange et arrêter le processus avant la survenue du préjudice.</w:t>
      </w:r>
    </w:p>
    <w:p>
      <w:pPr>
        <w:pStyle w:val="Heading2"/>
      </w:pPr>
      <w:r>
        <w:t>Phase 4 - Volume limité et réversible</w:t>
      </w:r>
    </w:p>
    <w:p>
      <w:pPr>
        <w:keepLines w:val="0"/>
      </w:pPr>
      <w:r>
        <w:rPr>
          <w:rFonts w:ascii="DejaVu Sans" w:hAnsi="DejaVu Sans" w:eastAsia="DejaVu Sans"/>
          <w:color w:val="1E2528"/>
          <w:sz w:val="18"/>
        </w:rPr>
        <w:t>Seulement si les phases précédentes résistent à l’examen, utilisez un périmètre restreint produisant des effets réversibles, avec des registres complets, une personne joignable et une interruption immédiate. Une moyenne favorable n’autorise pas automatiquement l’élargissement.</w:t>
      </w:r>
    </w:p>
    <w:p>
      <w:pPr>
        <w:pStyle w:val="Heading2"/>
      </w:pPr>
      <w:r>
        <w:t>Phase 5 - Sortie et réexamen</w:t>
      </w:r>
    </w:p>
    <w:p>
      <w:pPr>
        <w:keepLines w:val="0"/>
      </w:pPr>
      <w:r>
        <w:rPr>
          <w:rFonts w:ascii="DejaVu Sans" w:hAnsi="DejaVu Sans" w:eastAsia="DejaVu Sans"/>
          <w:color w:val="1E2528"/>
          <w:sz w:val="18"/>
        </w:rPr>
        <w:t>Exportez et rouvrez un dossier avec ses données, configurations et autorisations hors du service principal. Réexaminez lorsque changent le modèle, les données, le fournisseur, l’échelle, la tâche ou les responsables, ou à l’échéance prévue.</w:t>
      </w:r>
    </w:p>
    <w:p>
      <w:pPr>
        <w:pStyle w:val="Heading1"/>
      </w:pPr>
      <w:r>
        <w:t>6. Conditions propres au réexamen avec deux systèmes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067"/>
        <w:gridCol w:w="7157"/>
      </w:tblGrid>
      <w:tr>
        <w:trPr>
          <w:tblHeader w:val="true"/>
          <w:cantSplit/>
        </w:trPr>
        <w:tc>
          <w:tcPr>
            <w:tcW w:type="dxa" w:w="30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Condition</w:t>
            </w:r>
          </w:p>
        </w:tc>
        <w:tc>
          <w:tcPr>
            <w:tcW w:type="dxa" w:w="715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Test requis</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Indépendance effective</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Démontrer une séparation ou des différences pertinentes dans les sources, les données, les objectifs et les registres. Un nom, un modèle ou un fournisseur différent ne suffit pas.</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Erreurs corrélées</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Rechercher les défauts communs : sources partagées, annotations et métriques identiques, dépendances communes, données incomplètes, instructions contradictoires, surcharge et indisponibilité. L’accord peut encore être erroné de la même manière.</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Divergence décisive</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Définir à l’avance quel désaccord peut modifier le résultat ; maintenir séparés les entrées, versions, résultats et registres. Ne pas moyenner les scores ou niveaux de confiance afin de transformer le désaccord en autorisation.</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Interruption prédéfinie</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Si une divergence décisive ne peut être reconstituée dans la fenêtre de contrôle, appliquer la conséquence consignée : restreindre le Mandat, passer en mode dégradé, Ne pas déléguer avant le lancement ou Interrompre l’usage actif.</w:t>
            </w:r>
          </w:p>
        </w:tc>
      </w:tr>
    </w:tbl>
    <w:p>
      <w:pPr>
        <w:spacing w:after="0"/>
      </w:pPr>
    </w:p>
    <w:p>
      <w:pPr>
        <w:pStyle w:val="Heading1"/>
      </w:pPr>
      <w:r>
        <w:t>7. Registre minimal</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58"/>
        <w:gridCol w:w="7566"/>
      </w:tblGrid>
      <w:tr>
        <w:trPr>
          <w:tblHeader w:val="true"/>
          <w:cantSplit/>
        </w:trPr>
        <w:tc>
          <w:tcPr>
            <w:tcW w:type="dxa" w:w="265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Champ du registre</w:t>
            </w:r>
          </w:p>
        </w:tc>
        <w:tc>
          <w:tcPr>
            <w:tcW w:type="dxa" w:w="756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Contenu à conserver</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Identification</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Dossier, date, titulaire, version A, version B, configurations et sources.</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Entrées séparées</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Données disponibles pour chaque système, éléments exclus et transformations appliquées.</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Résultats séparés</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Réponses, sources citées, incertitude, solutions de rechange et étapes intermédiaires disponibles.</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Accord ou divergence</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Point substantiel, et non différence de style ; effet possible sur la décision.</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Reconstitution humaine</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Fait décisif, règle, solution de rechange, temps nécessaire et compétence requise.</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Conséquence</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Poursuivre en mode fantôme, répéter, restreindre le Mandat, passer en mode dégradé, Ne pas déléguer ou Interrompre.</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Coût</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Heures, retards, formation, contestations, dépendance, énergie et travail de sortie.</w:t>
            </w:r>
          </w:p>
        </w:tc>
      </w:tr>
    </w:tbl>
    <w:p>
      <w:pPr>
        <w:spacing w:after="0"/>
      </w:pPr>
    </w:p>
    <w:p>
      <w:r>
        <w:br w:type="page"/>
      </w:r>
    </w:p>
    <w:p>
      <w:pPr>
        <w:pStyle w:val="Heading1"/>
      </w:pPr>
      <w:r>
        <w:t>8. Règles de décision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476"/>
        <w:gridCol w:w="6748"/>
      </w:tblGrid>
      <w:tr>
        <w:trPr>
          <w:tblHeader w:val="true"/>
          <w:cantSplit/>
        </w:trPr>
        <w:tc>
          <w:tcPr>
            <w:tcW w:type="dxa" w:w="34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Situation</w:t>
            </w:r>
          </w:p>
        </w:tc>
        <w:tc>
          <w:tcPr>
            <w:tcW w:type="dxa" w:w="674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Conséquence minimale</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et B concordent, mais partagent une dépendance non vérifiée</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preuve reste Non résolue ; ne pas élargir le Mandat.</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et B divergent sur un point non décisif dont la cause peut être reconstituée</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Le consigner ; maintenir le périmètre ; réviser la bibliothèque de cas.</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Une divergence décisive peut être reconstituée dans la fenêtre de contrôle</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transmettre à la personne compétente chargée du réexamen ; l’effet reste suspendu jusqu’à la clôture du dossier.</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Une divergence décisive ne peut être reconstituée à temps</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Restreindre le Mandat ou passer en mode dégradé ; si le pouvoir est déjà actif, Interrompre.</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Les deux systèmes échouent sur le même cas</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Traiter l’accord comme une erreur corrélée ; corriger les sources, les données, les objectifs ou le processus avant de répéter le test.</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La charge rend le contrôle nominal</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Réduire le volume ou le mode ; financer la capacité humaine ; ne pas ajouter une signature purement décorative.</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La sortie ne permet pas de reconstituer le service</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Condition Bloquante : Ne pas déléguer avant le lancement ou Interrompre l’usage actif.</w:t>
            </w:r>
          </w:p>
        </w:tc>
      </w:tr>
    </w:tbl>
    <w:p>
      <w:pPr>
        <w:spacing w:after="0"/>
      </w:pPr>
    </w:p>
    <w:p>
      <w:pPr>
        <w:pStyle w:val="Heading1"/>
      </w:pPr>
      <w:r>
        <w:t>9. Registre de clôture</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RÉSULTAT  </w:t>
            </w:r>
            <w:r>
              <w:rPr>
                <w:rFonts w:ascii="DejaVu Sans" w:hAnsi="DejaVu Sans" w:eastAsia="DejaVu Sans"/>
                <w:color w:val="1E2528"/>
                <w:sz w:val="18"/>
              </w:rPr>
              <w:t>Le registre conserve la version, le périmètre testé, les cas d’échec, les divergences, les heures de contrôle, les coûts, les conditions non résolues, la décision organisationnelle, le responsable, la condition d’interruption et la date de réexamen. Un bon résultat n’autorise ni les tâches, ni les données, ni les volumes qui n’ont pas été testés.</w:t>
            </w:r>
          </w:p>
        </w:tc>
      </w:tr>
    </w:tbl>
    <w:p>
      <w:pPr>
        <w:spacing w:after="0"/>
      </w:pPr>
    </w:p>
    <w:p>
      <w:pPr>
        <w:pStyle w:val="Heading2"/>
      </w:pPr>
      <w:r>
        <w:t>Liste de contrôle pour la clôture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601"/>
        <w:gridCol w:w="5623"/>
      </w:tblGrid>
      <w:tr>
        <w:trPr>
          <w:tblHeader w:val="true"/>
          <w:cantSplit/>
        </w:trPr>
        <w:tc>
          <w:tcPr>
            <w:tcW w:type="dxa" w:w="460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Contrôle</w:t>
            </w:r>
          </w:p>
        </w:tc>
        <w:tc>
          <w:tcPr>
            <w:tcW w:type="dxa" w:w="562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Résultat et référence</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Versions A et B identifiées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Dépendances communes documentées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Divergences décisives reconstituées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Charge réelle et fenêtre de contrôle testées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Recours et pouvoir d’arrêt accessibles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Mode dégradé et sortie testés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Coûts du contrôle et de la non-adoption consignés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Décision organisationnelle</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Poursuivre [ ] Limiter et tester [ ] Ne pas déléguer [ ] Interrompre</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Responsable, signature, date et réexamen</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headerReference w:type="default" r:id="rId9"/>
      <w:footerReference w:type="default" r:id="rId10"/>
      <w:footerReference w:type="first" r:id="rId11"/>
      <w:headerReference w:type="first" r:id="rId14"/>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FR-FR-R1 - LETTER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Protocole avancé de test à deux systèmes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 avancé de test à deux systèmes</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