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Chronologie essentielle</w:t>
      </w:r>
    </w:p>
    <w:p>
      <w:pPr>
        <w:pStyle w:val="Subtitle"/>
        <w:jc w:val="center"/>
      </w:pPr>
      <w:r>
        <w:rPr>
          <w:rFonts w:ascii="DejaVu Sans" w:hAnsi="DejaVu Sans" w:eastAsia="DejaVu Sans"/>
          <w:color w:val="5D6870"/>
          <w:sz w:val="25"/>
        </w:rPr>
        <w:t>De l’émergence de l’IA aux seuils narratifs de 2050</w:t>
      </w:r>
    </w:p>
    <w:p>
      <w:pPr>
        <w:spacing w:before="440"/>
        <w:jc w:val="center"/>
      </w:pPr>
      <w:r>
        <w:rPr>
          <w:rFonts w:ascii="DejaVu Sans" w:hAnsi="DejaVu Sans" w:eastAsia="DejaVu Sans"/>
          <w:b/>
          <w:color w:val="B54B2A"/>
          <w:sz w:val="17"/>
        </w:rPr>
        <w:t>FAITS, SYNTHÈSES, RÉGLEMENTATION ET SCÉNARIOS</w:t>
      </w:r>
    </w:p>
    <w:p>
      <w:pPr>
        <w:jc w:val="center"/>
      </w:pPr>
      <w:r>
        <w:rPr>
          <w:rFonts w:ascii="DejaVu Sans" w:hAnsi="DejaVu Sans" w:eastAsia="DejaVu Sans"/>
          <w:color w:val="234C61"/>
          <w:sz w:val="19"/>
        </w:rPr>
        <w:t>Instantané de l’édition française - juillet 2026 - Format A4</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MÉTHODE  </w:t>
            </w:r>
            <w:r>
              <w:rPr>
                <w:rFonts w:ascii="DejaVu Sans" w:hAnsi="DejaVu Sans" w:eastAsia="DejaVu Sans"/>
                <w:color w:val="1E2528"/>
                <w:sz w:val="18"/>
              </w:rPr>
              <w:t>Cette chronologie sélectionne les jalons nécessaires pour s’orienter dans le livre et qualifie chaque entrée comme fait ou synthèse historique, fait réglementaire, scénario narratif ou proposition de l’auteur.</w:t>
            </w:r>
          </w:p>
        </w:tc>
      </w:tr>
    </w:tbl>
    <w:p>
      <w:pPr>
        <w:spacing w:after="0"/>
      </w:pP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176"/>
        <w:gridCol w:w="7714"/>
      </w:tblGrid>
      <w:tr>
        <w:trPr>
          <w:tblHeader w:val="true"/>
          <w:cantSplit/>
        </w:trPr>
        <w:tc>
          <w:tcPr>
            <w:tcW w:type="dxa" w:w="217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Date ou période</w:t>
            </w:r>
          </w:p>
        </w:tc>
        <w:tc>
          <w:tcPr>
            <w:tcW w:type="dxa" w:w="771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Jalon et qualification</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1950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Fait historique. Alan Turing publie Computing Machinery and Intelligence et remplace la question abstraite « Les machines peuvent-elles penser ? » par le jeu de l’imitation, déplaçant l’attention vers un comportement observable.</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1955-1956</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John McCarthy, Marvin Minsky, Nathaniel Rochester et Claude Shannon préparent la proposition de l’atelier d’été de Dartmouth ; l’expression intelligence artificielle devient l’emblème d’un nouveau domaine de recherche.</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Fin des années 1950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Synthèse historique. Le perceptron de Frank Rosenblatt soutient l’idée qu’une machine peut apprendre à partir d’exemples, alors que le matériel, les données et les méthodes restent limités.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1966</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Joseph Weizenbaum présente ELIZA, un programme simple capable de produire, grâce à des règles et à des mots-clés, une surprenante impression d’écoute.</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1969</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Fait et synthèse historiques. Marvin Minsky et Seymour Papert analysent les limites des perceptrons simples. Les hivers ultérieurs de l’IA reflètent aussi l’écart entre promesses, financement, capacité de calcul et résultats.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1969</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Histoire de l’infrastructure. ARPANET transmet son premier message entre deux nœuds, concrétise un réseau à commutation de paquets et ouvre la voie à des architectures de communication plus vastes.</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1er janvier 1983</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Histoire de l’infrastructure. ARPANET achève la transition vers TCP/IP : des réseaux différents peuvent communiquer au moyen d’une famille commune de protocoles, étape décisive vers Internet comme réseau de réseaux.</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1986</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David Rumelhart, Geoffrey Hinton et Ronald Williams montrent de manière influente comment la rétropropagation peut entraîner des réseaux comportant plusieurs couches.</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1989-1991</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Histoire de l’infrastructure. Tim Berners-Lee propose le World Wide Web au CERN en 1989, développe le premier navigateur et le premier serveur puis, en 1991, le projet commence à sortir du laboratoire et ouvre le réseau à la navigation hypertextuelle.</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1997</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Deep Blue bat Garry Kasparov dans un match en six parties et rend visible auprès du grand public la puissance du calcul dans un domaine régi par des règles fermées.</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Années 1990 et début des années 2000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Synthèse historique. Internet, le Web et les services mobiles transforment le réseau, d’un environnement spécialisé en une infrastructure quotidienne ; archives, identités, communications et services dépendent de plus en plus de systèmes interconnectés.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2012</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AlexNet obtient un résultat nettement supérieur dans la compétition ImageNet grâce à des processeurs graphiques et rend visible l’accélération de l’apprentissage profond dans la reconnaissance d’images.</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2017</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Fait historique. Attention Is All You Need présente l’architecture Transformer, qui deviendra centrale pour les grands modèles de langage et de nombreux systèmes génératifs.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30 novembre 2022</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ChatGPT est présenté au public sous forme d’aperçu de recherche et rend l’IA conversationnelle accessible à l’échelle de la vie quotidienne.</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Années 2010 et 2020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Synthèse historique. Services en nuage, centres de données, API, plateformes et objets connectés se combinent en une infrastructure de plus en plus invisible dont dépendent le travail, les soins, l’administration, la mobilité et l’information.</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1er août 2024</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réglementaire. Le règlement (UE) 2024/1689, appelé AI Act, entre en vigueur. Ses dispositions deviennent applicables progressivement ; cette date ne signifie pas que toutes les obligations commencent simultanément.</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Autour de 2050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Scénario narratif. Les vignettes, organisées par thèmes, couvrent plusieurs années. Les intervalles de quatorze et dix-huit mois appartiennent au fil d’Asha ; les réexamens à six mois concernent Marta et Lidia, ainsi que Davide. Les dates, coûts, durées, quantités, capacités et configurations géopolitiques futures sont des paramètres du scénario, et non des prévisions ni des valeurs observées. Les scénarios comprennent des projets limités, interrompus et non adoptés.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Propositions du livre</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Proposition de l’auteur. Le Test 2050, la minimisation de la preuve, le jumeau opérationnel, la licence vivante et la directive numérique post mortem sont des outils à tester, corriger ou abandonner : ils ne constituent ni des faits accomplis, ni une législation uniforme, ni des prédictions.</w:t>
            </w:r>
          </w:p>
        </w:tc>
      </w:tr>
    </w:tbl>
    <w:p>
      <w:pPr>
        <w:spacing w:after="0"/>
      </w:pPr>
    </w:p>
    <w:p>
      <w:pPr>
        <w:pStyle w:val="Heading1"/>
      </w:pPr>
      <w:r>
        <w:t>Comment citer la chronologie</w:t>
      </w:r>
    </w:p>
    <w:p>
      <w:pPr>
        <w:keepLines w:val="0"/>
      </w:pPr>
      <w:r>
        <w:rPr>
          <w:rFonts w:ascii="DejaVu Sans" w:hAnsi="DejaVu Sans" w:eastAsia="DejaVu Sans"/>
          <w:color w:val="1E2528"/>
          <w:sz w:val="18"/>
        </w:rPr>
        <w:t>Les entrées historiques et réglementaires renvoient à la bibliographie navigable du Centre de ressources. Les scènes situées autour de 2050 restent des paramètres narratifs, et non des prédictions. Les propositions du livre doivent être testées, corrigées ou abandonnées selon les éléments probants et le contexte.</w:t>
      </w:r>
    </w:p>
    <w:sectPr>
      <w:headerReference w:type="default" r:id="rId9"/>
      <w:footerReference w:type="default" r:id="rId10"/>
      <w:footerReference w:type="first" r:id="rId11"/>
      <w:headerReference w:type="first" r:id="rId14"/>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FR-FR-R1 - A4 -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Chronologie essentielle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Chronologie essentielle</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