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pPr>
      <w:r>
        <w:rPr>
          <w:rFonts w:ascii="EB Garamond" w:hAnsi="EB Garamond" w:eastAsia="EB Garamond" w:cs="EB Garamond"/>
          <w:b/>
          <w:color w:val="B04A35"/>
          <w:sz w:val="21"/>
          <w:szCs w:val="21"/>
        </w:rPr>
        <w:t xml:space="preserve">CORNER ITALIANO  |  RESSOURCES OFFICIELLES</w:t>
      </w:r>
    </w:p>
    <w:p>
      <w:pPr>
        <w:pStyle w:val="Title"/>
        <w:jc w:val="center"/>
        <w:spacing w:line="640" w:lineRule="exact"/>
      </w:pPr>
      <w:r>
        <w:rPr>
          <w:rFonts w:ascii="EB Garamond" w:hAnsi="EB Garamond" w:eastAsia="EB Garamond" w:cs="EB Garamond"/>
          <w:b/>
          <w:color w:val="183445"/>
          <w:sz w:val="56"/>
          <w:szCs w:val="56"/>
        </w:rPr>
        <w:t xml:space="preserve">Chronologie essentielle</w:t>
      </w:r>
    </w:p>
    <w:p>
      <w:pPr>
        <w:pStyle w:val="Subtitle"/>
        <w:jc w:val="center"/>
        <w:spacing w:line="320" w:lineRule="exact"/>
      </w:pPr>
      <w:r>
        <w:rPr>
          <w:rFonts w:ascii="EB Garamond" w:hAnsi="EB Garamond" w:eastAsia="EB Garamond" w:cs="EB Garamond"/>
          <w:color w:val="5A686F"/>
          <w:sz w:val="26"/>
          <w:szCs w:val="26"/>
        </w:rPr>
        <w:t xml:space="preserve">De l’émergence de l’IA aux seuils narratifs de 2050</w:t>
      </w:r>
    </w:p>
    <w:p>
      <w:pPr>
        <w:spacing w:before="440" w:line="270" w:lineRule="exact"/>
        <w:jc w:val="center"/>
      </w:pPr>
      <w:r>
        <w:rPr>
          <w:rFonts w:ascii="EB Garamond" w:hAnsi="EB Garamond" w:eastAsia="EB Garamond" w:cs="EB Garamond"/>
          <w:b/>
          <w:color w:val="B04A35"/>
          <w:sz w:val="21"/>
          <w:szCs w:val="21"/>
        </w:rPr>
        <w:t xml:space="preserve">FAITS, SYNTHÈSES, RÉGLEMENTATIONS ET SCÉNARIOS</w:t>
      </w:r>
    </w:p>
    <w:p>
      <w:pPr>
        <w:jc w:val="center"/>
        <w:spacing w:line="270" w:lineRule="exact"/>
      </w:pPr>
      <w:r>
        <w:rPr>
          <w:rFonts w:ascii="EB Garamond" w:hAnsi="EB Garamond" w:eastAsia="EB Garamond" w:cs="EB Garamond"/>
          <w:color w:val="183445"/>
          <w:sz w:val="21"/>
          <w:szCs w:val="21"/>
        </w:rPr>
        <w:t xml:space="preserve">Conforme au texte intérieur anglais révisé · Instantané documentaire de juillet 2026 · Version des ressources FR-R2.3</w:t>
      </w:r>
    </w:p>
    <w:p>
      <w:pPr>
        <w:spacing w:before="360" w:line="270" w:lineRule="exact"/>
        <w:jc w:val="center"/>
      </w:pPr>
      <w:hyperlink r:id="rId13">
        <w:r>
          <w:rPr>
            <w:rFonts w:ascii="EB Garamond" w:hAnsi="EB Garamond" w:eastAsia="EB Garamond" w:cs="EB Garamond"/>
            <w:color w:val="183445"/>
            <w:u w:val="single"/>
            <w:sz w:val="21"/>
            <w:szCs w:val="21"/>
          </w:rPr>
          <w:t>https://www.corneritaliano.com/fr/2050/ressources/</w:t>
        </w:r>
      </w:hyperlink>
    </w:p>
    <w:p>
      <w:r>
        <w:br w:type="page"/>
        <w:rPr>
          <w:rFonts w:ascii="EB Garamond" w:hAnsi="EB Garamond" w:eastAsia="EB Garamond" w:cs="EB Garamond"/>
          <w:sz w:val="21"/>
          <w:szCs w:val="21"/>
        </w:rPr>
      </w:r>
      <w:pPr/>
    </w:p>
    <w:tbl>
      <w:tblPr>
        <w:tblW w:type="dxa" w:w="9840"/>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9840"/>
      </w:tblGrid>
      <w:tr>
        <w:trPr>
          <w:cantSplit/>
        </w:trPr>
        <w:tc>
          <w:tcPr>
            <w:tcW w:type="dxa" w:w="9840"/>
            <w:shd w:fill="F7E7E0"/>
            <w:tcMar>
              <w:top w:w="120" w:type="dxa"/>
              <w:start w:w="150" w:type="dxa"/>
              <w:bottom w:w="120" w:type="dxa"/>
              <w:end w:w="150" w:type="dxa"/>
            </w:tcMar>
          </w:tcPr>
          <w:p>
            <w:pPr>
              <w:spacing w:after="40" w:line="210" w:lineRule="exact"/>
            </w:pPr>
            <w:r>
              <w:rPr>
                <w:rFonts w:ascii="EB Garamond" w:hAnsi="EB Garamond" w:eastAsia="EB Garamond" w:cs="EB Garamond"/>
                <w:color w:val="1F2D33"/>
                <w:sz w:val="17"/>
                <w:szCs w:val="17"/>
              </w:rPr>
              <w:t xml:space="preserve">MÉTHODE  Cette chronologie retient les jalons qui aident les lecteurs à se repérer dans le livre. Chaque entrée indique son statut : fait ou synthèse historique, fait réglementaire, scénario narratif ou proposition de l’auteur. Les publications techniques sont identifiées au sein des faits historiques. Les dates juridiques postérieures au 30 juillet 2026 sont indiquées comme prévues.</w:t>
            </w:r>
          </w:p>
        </w:tc>
      </w:tr>
    </w:tbl>
    <w:p>
      <w:pPr>
        <w:spacing w:after="0"/>
      </w:pPr>
    </w:p>
    <w:tbl>
      <w:tblPr>
        <w:tblW w:type="dxa" w:w="9840"/>
        <w:jc w:val="left"/>
        <w:tblLayout w:type="fixed"/>
        <w:tblLook w:firstColumn="1" w:firstRow="1" w:lastColumn="0" w:lastRow="0" w:noHBand="0" w:noVBand="1" w:val="04A0"/>
        <w:tblInd w:w="120" w:type="dxa"/>
        <w:tblBorders>
          <w:top w:val="single" w:sz="5" w:space="0" w:color="C8D2D7"/>
          <w:left w:val="single" w:sz="5" w:space="0" w:color="C8D2D7"/>
          <w:bottom w:val="single" w:sz="5" w:space="0" w:color="C8D2D7"/>
          <w:right w:val="single" w:sz="5" w:space="0" w:color="C8D2D7"/>
          <w:insideH w:val="single" w:sz="5" w:space="0" w:color="C8D2D7"/>
          <w:insideV w:val="single" w:sz="5" w:space="0" w:color="C8D2D7"/>
        </w:tblBorders>
      </w:tblPr>
      <w:tblGrid>
        <w:gridCol w:w="2165"/>
        <w:gridCol w:w="7675"/>
      </w:tblGrid>
      <w:tr>
        <w:trPr>
          <w:tblHeader w:val="true"/>
          <w:cantSplit/>
        </w:trPr>
        <w:tc>
          <w:tcPr>
            <w:tcW w:type="dxa" w:w="2165"/>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Date ou période</w:t>
            </w:r>
          </w:p>
        </w:tc>
        <w:tc>
          <w:tcPr>
            <w:tcW w:type="dxa" w:w="7675"/>
            <w:vAlign w:val="center"/>
            <w:tcMar>
              <w:top w:w="65" w:type="dxa"/>
              <w:start w:w="120" w:type="dxa"/>
              <w:bottom w:w="65" w:type="dxa"/>
              <w:end w:w="120" w:type="dxa"/>
            </w:tcMar>
            <w:shd w:fill="123044"/>
          </w:tcPr>
          <w:p>
            <w:pPr>
              <w:spacing w:after="0" w:line="210" w:lineRule="exact"/>
            </w:pPr>
            <w:r>
              <w:rPr>
                <w:rFonts w:ascii="EB Garamond" w:hAnsi="EB Garamond" w:eastAsia="EB Garamond" w:cs="EB Garamond"/>
                <w:b/>
                <w:color w:val="FFFFFF"/>
                <w:sz w:val="17"/>
                <w:szCs w:val="17"/>
              </w:rPr>
              <w:t xml:space="preserve">Jalon et qualification</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1950</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Fait historique. Alan Turing publie « Computing Machinery and Intelligence » et remplace la question abstraite « Les machines peuvent-elles penser ? » par le jeu de l’imitation, déplaçant l’attention vers le comportement observable.</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1955-1956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historique. John McCarthy, Marvin Minsky, Nathaniel Rochester et Claude Shannon préparent la proposition pour l’atelier d’été de Dartmouth ; l’expression intelligence artificielle devient la bannière d’un nouveau domaine de recherche.</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Fin des années 1950</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Synthèse historique. Le perceptron de Frank Rosenblatt encourage l’idée qu’une machine peut apprendre à partir d’exemples, alors que le matériel, les données et les méthodes restent limités.</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1966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historique. Joseph Weizenbaum présente ELIZA, programme simple capable de produire, au moyen de règles et de mots-clés, une surprenante impression d’écoute.</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1969</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Fait et synthèse historiques. Marvin Minsky et Seymour Papert analysent les limites des perceptrons simples. Les hivers ultérieurs de l’IA reflètent également l’écart entre les promesses, les financements, la puissance de calcul et les résultats.</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1969</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Histoire des infrastructures. ARPANET transmet son premier message entre deux nœuds, concrétisant un réseau à commutation de paquets et ouvrant la voie à des architectures de communication plus larges.</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1er janvier 1983</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Histoire des infrastructures. ARPANET achève sa transition vers TCP/IP : différents réseaux peuvent communiquer grâce à une famille commune de protocoles, étape décisive vers Internet comme réseau de réseaux.</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1986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historique. David Rumelhart, Geoffrey Hinton et Ronald Williams démontrent, dans un travail influent, comment la rétropropagation peut entraîner des réseaux multicouches.</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1989-1991</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Histoire des infrastructures. Tim Berners-Lee propose le World Wide Web au CERN en 1989, développe le premier navigateur et le premier serveur, puis, en 1991, le projet commence à sortir du laboratoire, ouvrant le réseau à la navigation hypertexte.</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1997</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historique. Deep Blue bat Garry Kasparov dans un match en six parties, révélant au grand public la puissance du calcul dans un domaine aux règles fermées.</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Des années 1990 au début des années 2000</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Synthèse historique. Internet, le Web et les services mobiles transforment le réseau, auparavant réservé aux spécialistes, en infrastructure du quotidien ; les archives, les identités, les communications et les services dépendent de plus en plus de systèmes interconnectés.</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2012</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historique. AlexNet obtient un résultat nettement meilleur à la compétition ImageNet en utilisant des processeurs graphiques et rend visible l’accélération de l’apprentissage profond en reconnaissance d’images.</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2017</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Fait historique. « Attention Is All You Need » présente l’architecture Transformer, qui deviendra centrale pour les grands modèles de langage et de nombreux systèmes génératifs.</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30 novembre 2022</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historique. ChatGPT est présenté au public en version de recherche et rend l’IA conversationnelle accessible à l’échelle du quotidien.</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Années 2010 et 2020</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Synthèse historique. Les services cloud, les centres de données, les API, les plateformes et les objets connectés se combinent en une infrastructure de plus en plus invisible dont dépendent le travail, les soins de santé, l’administration, la mobilité et l’information.</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1er août 2024</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réglementaire. Le règlement (UE) 2024/1689, connu sous le nom de règlement sur l’IA, entre en vigueur. Ses dispositions s’appliquent progressivement ; cette date ne signifie pas que toutes les obligations prennent effet en même temps.</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février 2025</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réglementaire. Les dispositions du règlement sur l’IA relatives aux pratiques interdites et l’obligation initiale de maîtrise de l’IA commencent à s’appliquer. La modification de juillet 2026 reformule ensuite l’article 4 en obligation de soutenir le développement de la maîtrise de l’IA. [SRC-S34-001] [SRC-EU-AI-OMNIBUS26]</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15 mai 2025</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historique, normes techniques. Le W3C publie Verifiable Credentials Data Model v2.0, Verifiable Credential Data Integrity 1.0 et Securing Verifiable Credentials Using JOSE and COSE sous forme de recommandations. [SRC-W3C-VC20] [SRC-W3C-DI] [SRC-W3C-JOSE]</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9 juillet 2025</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historique, spécification technique. OpenID for Verifiable Presentations 1.0 devient une spécification finale pour les flux de présentation de justificatifs. [SRC-OID4VP]</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10 juillet 2025</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réglementaire, lignes directrices volontaires. La version finale du General-Purpose AI Code of Practice est publiée pour soutenir la conformité au règlement sur l’IA. Le code est un instrument volontaire. [SRC-S34-021]</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Juillet 2025</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historique, norme technique. Le NIST publie la version finale des Digital Identity Guidelines, Special Publication 800-63-4. [SRC-NIST-ID4]</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août 2025</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réglementaire. Les obligations de l’article 53 du règlement sur l’IA concernant les fournisseurs de modèles d’IA à usage général commencent à s’appliquer, sous réserve du champ d’application et des dispositions transitoires. Les modèles mis sur le marché avant cette date bénéficient d’un délai de mise en conformité ultérieur. [SRC-S34-001] [SRC-S34-021]</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16 septembre 2025</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historique, spécification technique. OpenID for Verifiable Credential Issuance 1.0 devient une spécification finale pour les flux de délivrance de justificatifs. [SRC-OID4VCI]</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10 juin 2026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réglementaire, lignes directrices volontaires. La version finale du Code of Practice on Transparency of AI-Generated Content est publiée. Elle fournit des orientations sur le marquage et l’étiquetage, mais l’adhésion ne suffit pas à établir la conformité à l’article 50. [SRC-S34-020]</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8 juillet 2026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réglementaire. Le règlement (UE) 2026/1744, dit Digital Omnibus on AI, est adopté. L’adoption est distincte de la publication et de l’entrée en vigueur. [SRC-EU-AI-OMNIBUS26]</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23 juillet 2026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historique, cadre technique. La version 3.0.0 de l’European Digital Identity Wallet Architecture and Reference Framework est publiée. Ce cadre technique soutient la mise en œuvre et se distingue des obligations juridiques. [SRC-S34-009]</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24 juillet 2026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réglementaire. Le règlement (UE) 2026/1744 est publié au Journal officiel de l’Union européenne. [SRC-EU-AI-OMNIBUS26]</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27 juillet 2026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Fait réglementaire. Le règlement (UE) 2026/1744 entre en vigueur. Les obligations du règlement sur l’IA restent soumises à leurs dates d’application respectives et aux dispositions transitoires. [SRC-EU-AI-OMNIBUS26] [SRC-S34-001]</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août 2026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Date réglementaire prévue. Les obligations de transparence de l’article 50, paragraphes 1, 2, 4 et 5, doivent s’appliquer, sous réserve des exceptions et des transitions. Les pouvoirs de contrôle de la Commission relatifs aux modèles d’IA à usage général doivent également s’appliquer à compter de cette date. [SRC-S34-001] [SRC-S34-020] [SRC-S34-021]</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décembre 2026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Date réglementaire prévue. Les États membres doivent transposer la directive relative au travail via une plateforme. Cette date marque aussi la fin prévue de la transition prévue à l’article 50, paragraphe 2, pour les fournisseurs de systèmes de contenu synthétique concernés mis sur le marché avant le 2 août 2026. [SRC-S34-012] [SRC-EU-AI-OMNIBUS26] [SRC-S34-001]</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31 décembre 2026</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Date réglementaire prévue. Certaines échéances relatives au statut Authorized IC Designer et aux demandes doivent intervenir à cette date en vertu de la règle du BIS publiée le 9 avril 2026 et entrée en vigueur le 7 avril 2026. L’applicabilité dépend de la transaction et du champ de la règle. [SRC-BIS-IC-DESIGNER26]</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2 août 2027</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Date réglementaire prévue. Les fournisseurs de modèles d’IA à usage général mis sur le marché avant le 2 août 2025 doivent se conformer aux obligations applicables du règlement sur l’IA. [SRC-S34-001] [SRC-S34-021]</w:t>
            </w:r>
          </w:p>
        </w:tc>
      </w:tr>
      <w:tr>
        <w:trPr>
          <w:cantSplit/>
        </w:trPr>
        <w:tc>
          <w:tcPr>
            <w:tcW w:type="dxa" w:w="2165"/>
            <w:vAlign w:val="center"/>
            <w:tcMar>
              <w:top w:w="65" w:type="dxa"/>
              <w:start w:w="120" w:type="dxa"/>
              <w:bottom w:w="65" w:type="dxa"/>
              <w:end w:w="120" w:type="dxa"/>
            </w:tcMar>
          </w:tcPr>
          <w:p>
            <w:pPr>
              <w:spacing w:after="0" w:line="210" w:lineRule="exact"/>
            </w:pPr>
            <w:r>
              <w:rPr>
                <w:rFonts w:ascii="EB Garamond" w:hAnsi="EB Garamond" w:eastAsia="EB Garamond" w:cs="EB Garamond"/>
                <w:b/>
                <w:color w:val="1F2D33"/>
                <w:sz w:val="17"/>
                <w:szCs w:val="17"/>
              </w:rPr>
              <w:t xml:space="preserve">Autour de 2050</w:t>
            </w:r>
          </w:p>
        </w:tc>
        <w:tc>
          <w:tcPr>
            <w:tcW w:type="dxa" w:w="7675"/>
            <w:vAlign w:val="center"/>
            <w:tcMar>
              <w:top w:w="65" w:type="dxa"/>
              <w:start w:w="120" w:type="dxa"/>
              <w:bottom w:w="65" w:type="dxa"/>
              <w:end w:w="120" w:type="dxa"/>
            </w:tcMar>
          </w:tcPr>
          <w:p>
            <w:pPr>
              <w:spacing w:after="0" w:line="210" w:lineRule="exact"/>
            </w:pPr>
            <w:r>
              <w:rPr>
                <w:rFonts w:ascii="EB Garamond" w:hAnsi="EB Garamond" w:eastAsia="EB Garamond" w:cs="EB Garamond"/>
                <w:b w:val="0"/>
                <w:color w:val="1F2D33"/>
                <w:sz w:val="17"/>
                <w:szCs w:val="17"/>
              </w:rPr>
              <w:t xml:space="preserve">Scénario narratif. Les scènes, organisées par thème, s’étendent sur plusieurs années. Les intervalles de quatorze et de dix-huit mois appartiennent au fil narratif d’Asha ; les réexamens semestriels concernent Marta et Lidia, ainsi que Davide. Les dates futures, coûts, délais, quantités, capacités et configurations géopolitiques sont des paramètres de scénario, et non des prévisions ou des valeurs observées. Les scénarios comprennent des projets limités, interrompus et non adoptés.</w:t>
            </w:r>
          </w:p>
        </w:tc>
      </w:tr>
      <w:tr>
        <w:trPr>
          <w:cantSplit/>
        </w:trPr>
        <w:tc>
          <w:tcPr>
            <w:tcW w:type="dxa" w:w="216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color w:val="1F2D33"/>
                <w:sz w:val="17"/>
                <w:szCs w:val="17"/>
              </w:rPr>
              <w:t xml:space="preserve">Propositions du livre</w:t>
            </w:r>
          </w:p>
        </w:tc>
        <w:tc>
          <w:tcPr>
            <w:tcW w:type="dxa" w:w="7675"/>
            <w:vAlign w:val="center"/>
            <w:tcMar>
              <w:top w:w="65" w:type="dxa"/>
              <w:start w:w="120" w:type="dxa"/>
              <w:bottom w:w="65" w:type="dxa"/>
              <w:end w:w="120" w:type="dxa"/>
            </w:tcMar>
            <w:shd w:fill="EFF2F3"/>
          </w:tcPr>
          <w:p>
            <w:pPr>
              <w:spacing w:after="0" w:line="210" w:lineRule="exact"/>
            </w:pPr>
            <w:r>
              <w:rPr>
                <w:rFonts w:ascii="EB Garamond" w:hAnsi="EB Garamond" w:eastAsia="EB Garamond" w:cs="EB Garamond"/>
                <w:b w:val="0"/>
                <w:color w:val="1F2D33"/>
                <w:sz w:val="17"/>
                <w:szCs w:val="17"/>
              </w:rPr>
              <w:t xml:space="preserve">Proposition de l’auteur. Le Test 2050, la minimisation de la preuve, le jumeau opérationnel, la licence vivante et la directive numérique post mortem sont des outils à tester, corriger ou abandonner : ce ne sont ni des faits accomplis, ni un droit uniforme, ni des prédictions.</w:t>
            </w:r>
          </w:p>
        </w:tc>
      </w:tr>
    </w:tbl>
    <w:p>
      <w:pPr>
        <w:spacing w:after="0"/>
      </w:pPr>
    </w:p>
    <w:p>
      <w:pPr>
        <w:pStyle w:val="Heading1"/>
        <w:spacing w:line="460" w:lineRule="exact"/>
      </w:pPr>
      <w:r>
        <w:rPr>
          <w:rFonts w:ascii="EB Garamond" w:hAnsi="EB Garamond" w:eastAsia="EB Garamond" w:cs="EB Garamond"/>
          <w:sz w:val="40"/>
          <w:szCs w:val="40"/>
          <w:color w:val="183445"/>
        </w:rPr>
        <w:t xml:space="preserve">Comment citer la chronologie</w:t>
      </w:r>
    </w:p>
    <w:p>
      <w:pPr>
        <w:keepLines w:val="0"/>
        <w:spacing w:line="270" w:lineRule="exact"/>
      </w:pPr>
      <w:r>
        <w:rPr>
          <w:rFonts w:ascii="EB Garamond" w:hAnsi="EB Garamond" w:eastAsia="EB Garamond" w:cs="EB Garamond"/>
          <w:color w:val="1F2D33"/>
          <w:sz w:val="21"/>
          <w:szCs w:val="21"/>
        </w:rPr>
        <w:t xml:space="preserve">Les entrées historiques et réglementaires renvoient à la bibliographie navigable du Centre de ressources. Utilisez les codes SRC pour retrouver les sources des jalons ajoutés. Les scènes autour de 2050 restent des paramètres narratifs, et non des prédictions. Confrontez les propositions du livre aux éléments probants et au contexte, puis décidez de les corriger ou de les abandonner.</w:t>
      </w:r>
    </w:p>
    <w:sectPr>
      <w:headerReference w:type="default" r:id="rId9"/>
      <w:footerReference w:type="default" r:id="rId10"/>
      <w:footerReference w:type="first" r:id="rId11"/>
      <w:headerReference w:type="first" r:id="rId14"/>
      <w:pgSz w:w="11905" w:h="16838"/>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20" w:val="left"/>
      </w:tabs>
      <w:spacing w:before="0" w:after="0" w:line="200" w:lineRule="exact"/>
    </w:pPr>
    <w:r>
      <w:rPr>
        <w:rFonts w:ascii="EB Garamond" w:hAnsi="EB Garamond" w:eastAsia="EB Garamond" w:cs="EB Garamond"/>
        <w:color w:val="65757D"/>
        <w:sz w:val="16"/>
        <w:szCs w:val="16"/>
      </w:rPr>
      <w:t>2050 - FR-R2.3 - Instantané documentaire de juillet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https://www.corneritaliano.com/fr/2050/ressources/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RESSOURCES OFFICIELLES  |  Chronologie essentielle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fr-FR" w:eastAsia="fr-FR"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fr/2050/ressources/"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Chronologie essentielle | FR-R2.3 | Français | English source V51.2</dc:title>
  <dc:subject>Chronologie essentielle | FR-R2.3 | Français | English source V51.2</dc:subject>
  <dc:creator>Marco De Prosperis</dc:creator>
  <cp:keywords>2050, EN-US-R2.3, July 2026 documentary snapshot, revised English interior</cp:keywords>
  <dc:description>Chronologie essentielle | FR-R2.3 | Français | English source V51.2</dc:description>
  <cp:lastModifiedBy>Corner Italiano LLC</cp:lastModifiedBy>
  <cp:revision>2</cp:revision>
  <dcterms:created xsi:type="dcterms:W3CDTF">2013-12-23T23:15:00Z</dcterms:created>
  <dcterms:modified xsi:type="dcterms:W3CDTF">2026-09-10T15:55:33Z</dcterms:modified>
  <cp:category/>
  <dc:language>fr-FR</dc:language>
</cp:coreProperties>
</file>