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RESSOURCES OFFICIELLES</w:t>
      </w:r>
    </w:p>
    <w:p>
      <w:pPr>
        <w:pStyle w:val="Title"/>
        <w:jc w:val="center"/>
        <w:spacing w:line="640" w:lineRule="exact"/>
      </w:pPr>
      <w:r>
        <w:rPr>
          <w:rFonts w:ascii="EB Garamond" w:hAnsi="EB Garamond" w:eastAsia="EB Garamond" w:cs="EB Garamond"/>
          <w:b/>
          <w:color w:val="183445"/>
          <w:sz w:val="56"/>
          <w:szCs w:val="56"/>
        </w:rPr>
        <w:t xml:space="preserve">Chronologie essentielle</w:t>
      </w:r>
    </w:p>
    <w:p>
      <w:pPr>
        <w:pStyle w:val="Subtitle"/>
        <w:jc w:val="center"/>
        <w:spacing w:line="320" w:lineRule="exact"/>
      </w:pPr>
      <w:r>
        <w:rPr>
          <w:rFonts w:ascii="EB Garamond" w:hAnsi="EB Garamond" w:eastAsia="EB Garamond" w:cs="EB Garamond"/>
          <w:color w:val="5A686F"/>
          <w:sz w:val="26"/>
          <w:szCs w:val="26"/>
        </w:rPr>
        <w:t xml:space="preserve">De l’émergence de l’IA aux seuils narratifs de 2050</w:t>
      </w:r>
    </w:p>
    <w:p>
      <w:pPr>
        <w:spacing w:before="440" w:line="270" w:lineRule="exact"/>
        <w:jc w:val="center"/>
      </w:pPr>
      <w:r>
        <w:rPr>
          <w:rFonts w:ascii="EB Garamond" w:hAnsi="EB Garamond" w:eastAsia="EB Garamond" w:cs="EB Garamond"/>
          <w:b/>
          <w:color w:val="B04A35"/>
          <w:sz w:val="21"/>
          <w:szCs w:val="21"/>
        </w:rPr>
        <w:t xml:space="preserve">FAITS, SYNTHÈSES, RÉGLEMENTATIONS ET SCÉNARIOS</w:t>
      </w:r>
    </w:p>
    <w:p>
      <w:pPr>
        <w:jc w:val="center"/>
        <w:spacing w:line="270" w:lineRule="exact"/>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https://www.corneritaliano.com/fr/2050/ressources/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MÉTHODE  Cette chronologie retient les jalons qui aident les lecteurs à se repérer dans le livre. Chaque entrée indique son statut : fait ou synthèse historique, fait réglementaire, scénario narratif ou proposition de l’auteur. Les publications techniques sont identifiées au sein des faits historiques. Les dates juridiques postérieures au 30 juillet 2026 sont indiquées comme prévues.</w:t>
            </w:r>
          </w:p>
        </w:tc>
      </w:tr>
    </w:tbl>
    <w:p>
      <w:pPr>
        <w:spacing w:after="0"/>
      </w:pP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249"/>
        <w:gridCol w:w="7975"/>
      </w:tblGrid>
      <w:tr>
        <w:trPr>
          <w:tblHeader w:val="true"/>
          <w:cantSplit/>
        </w:trPr>
        <w:tc>
          <w:tcPr>
            <w:tcW w:type="dxa" w:w="224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Date ou période</w:t>
            </w:r>
          </w:p>
        </w:tc>
        <w:tc>
          <w:tcPr>
            <w:tcW w:type="dxa" w:w="797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Jalon et qualification</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1950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Fait historique. Alan Turing publie « Computing Machinery and Intelligence » et remplace la question abstraite « Les machines peuvent-elles penser ? » par le jeu de l’imitation, déplaçant l’attention vers le comportement observable.</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1955-1956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John McCarthy, Marvin Minsky, Nathaniel Rochester et Claude Shannon préparent la proposition pour l’atelier d’été de Dartmouth ; l’expression intelligence artificielle devient la bannière d’un nouveau domaine de recherche.</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Fin des années 1950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Synthèse historique. Le perceptron de Frank Rosenblatt encourage l’idée qu’une machine peut apprendre à partir d’exemples, alors que le matériel, les données et les méthodes restent limités.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Joseph Weizenbaum présente ELIZA, programme simple capable de produire, au moyen de règles et de mots-clés, une surprenante impression d’écoute.</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1969</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Fait et synthèse historiques. Marvin Minsky et Seymour Papert analysent les limites des perceptrons simples. Les hivers ultérieurs de l’IA reflètent également l’écart entre les promesses, les financements, la puissance de calcul et les résultats.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1969</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Histoire des infrastructures. ARPANET transmet son premier message entre deux nœuds, concrétisant un réseau à commutation de paquets et ouvrant la voie à des architectures de communication plus larges.</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1er janvier 1983</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Histoire des infrastructures. ARPANET achève sa transition vers TCP/IP : différents réseaux peuvent communiquer grâce à une famille commune de protocoles, étape décisive vers Internet comme réseau de réseaux.</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1986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David Rumelhart, Geoffrey Hinton et Ronald Williams démontrent, dans un travail influent, comment la rétropropagation peut entraîner des réseaux multicouches.</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1989-1991</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Histoire des infrastructures. Tim Berners-Lee propose le World Wide Web au CERN en 1989, développe le premier navigateur et le premier serveur, puis, en 1991, le projet commence à sortir du laboratoire, ouvrant le réseau à la navigation hypertexte.</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1997</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Deep Blue bat Garry Kasparov dans un match en six parties, révélant au grand public la puissance du calcul dans un domaine aux règles fermées.</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Des années 1990 au début des années 2000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Synthèse historique. Internet, le Web et les services mobiles transforment le réseau, auparavant réservé aux spécialistes, en infrastructure du quotidien ; les archives, les identités, les communications et les services dépendent de plus en plus de systèmes interconnectés.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2012</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AlexNet obtient un résultat nettement meilleur à la compétition ImageNet en utilisant des processeurs graphiques et rend visible l’accélération de l’apprentissage profond en reconnaissance d’images.</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2017</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Fait historique. « Attention Is All You Need » présente l’architecture Transformer, qui deviendra centrale pour les grands modèles de langage et de nombreux systèmes génératifs.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30 novembre 2022</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ChatGPT est présenté au public en version de recherche et rend l’IA conversationnelle accessible à l’échelle du quotidien.</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Années 2010 et 2020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Synthèse historique. Les services cloud, les centres de données, les API, les plateformes et les objets connectés se combinent en une infrastructure de plus en plus invisible dont dépendent le travail, les soins de santé, l’administration, la mobilité et l’information.</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1er août 2024</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 règlement (UE) 2024/1689, connu sous le nom de règlement sur l’IA, entre en vigueur. Ses dispositions s’appliquent progressivement ; cette date ne signifie pas que toutes les obligations prennent effet en même temps.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février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Les dispositions du règlement sur l’IA relatives aux pratiques interdites et l’obligation initiale de maîtrise de l’IA commencent à s’appliquer. La modification de juillet 2026 reformule ensuite l’article 4 en obligation de soutenir le développement de la maîtrise de l’IA. [SRC-S34-001] [SRC-EU-AI-OMNIBUS26]</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15 mai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normes techniques. Le W3C publie Verifiable Credentials Data Model v2.0, Verifiable Credential Data Integrity 1.0 et Securing Verifiable Credentials Using JOSE and COSE sous forme de recommandations. [SRC-W3C-VC20] [SRC-W3C-DI] [SRC-W3C-JOSE]</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9 juillet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spécification technique. OpenID for Verifiable Presentations 1.0 devient une spécification finale pour les flux de présentation de justificatifs. [SRC-OID4VP]</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juillet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lignes directrices volontaires. La version finale du General-Purpose AI Code of Practice est publiée pour soutenir la conformité au règlement sur l’IA. Le code est un instrument volontaire. [SRC-S34-021]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Juillet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norme technique. Le NIST publie la version finale des Digital Identity Guidelines, Special Publication 800-63-4. [SRC-NIST-ID4]</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août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Les obligations de l’article 53 du règlement sur l’IA concernant les fournisseurs de modèles d’IA à usage général commencent à s’appliquer, sous réserve du champ d’application et des dispositions transitoires. Les modèles mis sur le marché avant cette date bénéficient d’un délai de mise en conformité ultérieur. [SRC-S34-001] [SRC-S34-021]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16 septembre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spécification technique. OpenID for Verifiable Credential Issuance 1.0 devient une spécification finale pour les flux de délivrance de justificatifs. [SRC-OID4VCI]</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juin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lignes directrices volontaires. La version finale du Code of Practice on Transparency of AI-Generated Content est publiée. Elle fournit des orientations sur le marquage et l’étiquetage, mais l’adhésion ne suffit pas à établir la conformité à l’article 50. [SRC-S34-020]</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8 juillet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 règlement (UE) 2026/1744, dit Digital Omnibus on AI, est adopté. L’adoption est distincte de la publication et de l’entrée en vigueur. [SRC-EU-AI-OMNIBUS26]</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23 juillet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cadre technique. La version 3.0.0 de l’European Digital Identity Wallet Architecture and Reference Framework est publiée. Ce cadre technique soutient la mise en œuvre et se distingue des obligations juridiques. [SRC-S34-009]</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24 juillet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 règlement (UE) 2026/1744 est publié au Journal officiel de l’Union européenne. [SRC-EU-AI-OMNIBUS26]</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27 juillet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 règlement (UE) 2026/1744 entre en vigueur. Les obligations du règlement sur l’IA restent soumises à leurs dates d’application respectives et aux dispositions transitoires. [SRC-EU-AI-OMNIBUS26] [SRC-S34-001]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août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réglementaire prévue. Les obligations de transparence de l’article 50, paragraphes 1, 2, 4 et 5, doivent s’appliquer, sous réserve des exceptions et des transitions. Les pouvoirs de contrôle de la Commission relatifs aux modèles d’IA à usage général doivent également s’appliquer à compter de cette date. [SRC-S34-001] [SRC-S34-020] [SRC-S34-021]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décembre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réglementaire prévue. Les États membres doivent transposer la directive relative au travail via une plateforme. Cette date marque aussi la fin prévue de la transition prévue à l’article 50, paragraphe 2, pour les fournisseurs de systèmes de contenu synthétique concernés mis sur le marché avant le 2 août 2026. [SRC-S34-012] [SRC-EU-AI-OMNIBUS26] [SRC-S34-001]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31 décembre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réglementaire prévue. Certaines échéances relatives au statut Authorized IC Designer et aux demandes doivent intervenir à cette date en vertu de la règle du BIS publiée le 9 avril 2026 et entrée en vigueur le 7 avril 2026. L’applicabilité dépend de la transaction et du champ de la règle. [SRC-BIS-IC-DESIGNER26]</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août 2027</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réglementaire prévue. Les fournisseurs de modèles d’IA à usage général mis sur le marché avant le 2 août 2025 doivent se conformer aux obligations applicables du règlement sur l’IA. [SRC-S34-001] [SRC-S34-021]</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Autour de 2050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Scénario narratif. Les scènes, organisées par thème, s’étendent sur plusieurs années. Les intervalles de quatorze et de dix-huit mois appartiennent au fil narratif d’Asha ; les réexamens semestriels concernent Marta et Lidia, ainsi que Davide. Les dates futures, coûts, délais, quantités, capacités et configurations géopolitiques sont des paramètres de scénario, et non des prévisions ou des valeurs observées. Les scénarios comprennent des projets limités, interrompus et non adoptés.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Propositions du livre</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Proposition de l’auteur. Le Test 2050, la minimisation de la preuve, le jumeau opérationnel, la licence vivante et la directive numérique post mortem sont des outils à tester, corriger ou abandonner : ce ne sont ni des faits accomplis, ni un droit uniforme, ni des prédictions.</w:t>
            </w:r>
          </w:p>
        </w:tc>
      </w:tr>
    </w:tbl>
    <w:p>
      <w:pPr>
        <w:spacing w:after="0"/>
      </w:pPr>
    </w:p>
    <w:p>
      <w:pPr>
        <w:pStyle w:val="Heading1"/>
        <w:spacing w:line="460" w:lineRule="exact"/>
      </w:pPr>
      <w:r>
        <w:rPr>
          <w:rFonts w:ascii="EB Garamond" w:hAnsi="EB Garamond" w:eastAsia="EB Garamond" w:cs="EB Garamond"/>
          <w:sz w:val="40"/>
          <w:szCs w:val="40"/>
          <w:color w:val="183445"/>
        </w:rPr>
        <w:t xml:space="preserve">Comment citer la chronologie</w:t>
      </w:r>
    </w:p>
    <w:p>
      <w:pPr>
        <w:keepLines w:val="0"/>
        <w:spacing w:line="270" w:lineRule="exact"/>
      </w:pPr>
      <w:r>
        <w:rPr>
          <w:rFonts w:ascii="EB Garamond" w:hAnsi="EB Garamond" w:eastAsia="EB Garamond" w:cs="EB Garamond"/>
          <w:color w:val="1F2D33"/>
          <w:sz w:val="21"/>
          <w:szCs w:val="21"/>
        </w:rPr>
        <w:t xml:space="preserve">Les entrées historiques et réglementaires renvoient à la bibliographie navigable du Centre de ressources. Utilisez les codes SRC pour retrouver les sources des jalons ajoutés. Les scènes autour de 2050 restent des paramètres narratifs, et non des prédictions. Confrontez les propositions du livre aux éléments probants et au contexte, puis décidez de les corriger ou de les abandonner.</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Chronologie essentielle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fr/2050/res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Chronologie essentielle | FR-R2.3 | Français | English source V51.2</dc:title>
  <dc:subject>Chronologie essentielle | FR-R2.3 | Français | English source V51.2</dc:subject>
  <dc:creator>Marco De Prosperis</dc:creator>
  <cp:keywords>2050, EN-US-R2.3, July 2026 documentary snapshot, revised English interior</cp:keywords>
  <dc:description>Chronologie essentielle | FR-R2.3 | Français | English source V51.2</dc:description>
  <cp:lastModifiedBy>Corner Italiano LLC</cp:lastModifiedBy>
  <cp:revision>2</cp:revision>
  <dcterms:created xsi:type="dcterms:W3CDTF">2013-12-23T23:15:00Z</dcterms:created>
  <dcterms:modified xsi:type="dcterms:W3CDTF">2026-09-10T15:55:33Z</dcterms:modified>
  <cp:category/>
  <dc:language>fr-FR</dc:language>
</cp:coreProperties>
</file>