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/>
        <w:jc w:val="center"/>
      </w:pPr>
      <w:r>
        <w:rPr>
          <w:rFonts w:ascii="Noto Sans CJK JP" w:hAnsi="Noto Sans CJK JP" w:eastAsia="Noto Sans CJK JP" w:cs="Noto Sans CJK JP"/>
          <w:b/>
          <w:color w:val="B54B2A"/>
          <w:sz w:val="16"/>
        </w:rPr>
        <w:t>CORNER ITALIANO  |  公式資料</w:t>
      </w:r>
    </w:p>
    <w:p>
      <w:pPr>
        <w:spacing w:before="560"/>
        <w:jc w:val="center"/>
      </w:pPr>
      <w:r>
        <w:rPr>
          <w:rFonts w:ascii="Noto Sans CJK JP" w:hAnsi="Noto Sans CJK JP" w:eastAsia="Noto Sans CJK JP" w:cs="Noto Sans CJK JP"/>
          <w:b/>
          <w:color w:val="123044"/>
          <w:sz w:val="48"/>
        </w:rPr>
        <w:t>2050年テスト</w:t>
      </w:r>
    </w:p>
    <w:p>
      <w:pPr>
        <w:jc w:val="center"/>
      </w:pPr>
      <w:r>
        <w:rPr>
          <w:rFonts w:ascii="Noto Sans CJK JP" w:hAnsi="Noto Sans CJK JP" w:eastAsia="Noto Sans CJK JP" w:cs="Noto Sans CJK JP"/>
          <w:b/>
          <w:color w:val="123044"/>
          <w:sz w:val="42"/>
        </w:rPr>
        <w:t>実践ワークブック</w:t>
      </w:r>
    </w:p>
    <w:p>
      <w:pPr>
        <w:spacing w:before="200"/>
        <w:jc w:val="center"/>
      </w:pPr>
      <w:r>
        <w:rPr>
          <w:rFonts w:ascii="Noto Sans CJK JP" w:hAnsi="Noto Sans CJK JP" w:eastAsia="Noto Sans CJK JP" w:cs="Noto Sans CJK JP"/>
          <w:color w:val="5D6870"/>
          <w:sz w:val="18"/>
        </w:rPr>
        <w:t>三つの語彙、七つの問い、モニタリング、決定、再審査。</w:t>
      </w:r>
    </w:p>
    <w:p>
      <w:pPr>
        <w:spacing w:before="600"/>
        <w:jc w:val="center"/>
      </w:pPr>
      <w:r>
        <w:rPr>
          <w:rFonts w:ascii="Noto Sans CJK JP" w:hAnsi="Noto Sans CJK JP" w:eastAsia="Noto Sans CJK JP" w:cs="Noto Sans CJK JP"/>
          <w:color w:val="234C61"/>
          <w:sz w:val="18"/>
        </w:rPr>
        <w:t>日本語版アーカイブ - 2026年7月 - A4版</w:t>
      </w:r>
    </w:p>
    <w:p>
      <w:pPr>
        <w:spacing w:before="520"/>
        <w:jc w:val="center"/>
      </w:pPr>
      <w:hyperlink r:id="rId12">
        <w:r>
          <w:rPr>
            <w:rFonts w:ascii="Noto Sans CJK JP" w:hAnsi="Noto Sans CJK JP" w:eastAsia="Noto Sans CJK JP" w:cs="Noto Sans CJK JP"/>
            <w:color w:val="234C61"/>
            <w:u w:val="single"/>
            <w:sz w:val="18"/>
          </w:rPr>
          <w:t>https://www.corneritaliano.com/ja/2050/resources/</w:t>
        </w:r>
      </w:hyperlink>
    </w:p>
    <w:p>
      <w:pPr>
        <w:spacing w:before="680"/>
        <w:jc w:val="center"/>
      </w:pPr>
      <w:r>
        <w:rPr>
          <w:rFonts w:ascii="Noto Sans CJK JP" w:hAnsi="Noto Sans CJK JP" w:eastAsia="Noto Sans CJK JP" w:cs="Noto Sans CJK JP"/>
          <w:i/>
          <w:color w:val="5D6870"/>
          <w:sz w:val="15"/>
        </w:rPr>
        <w:t>用紙サイズを変更せず100%で印刷してください。空欄は、事実、文書、バージョン、日付を記録するための欄です。</w:t>
      </w:r>
    </w:p>
    <w:p>
      <w:r>
        <w:br w:type="page"/>
      </w:r>
    </w:p>
    <w:p>
      <w:pPr>
        <w:pStyle w:val="Heading1"/>
      </w:pPr>
      <w:r>
        <w:t>三つの統制語彙のマップ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三つのリストは、それぞれ異なる問いに答えます。モードはシステムが行使する権限を示し、根拠の状態はテストの各問いを区分し、組織としての決定は全体として何を認可するかを定めます。三者を足し合わせることはできず、一つから別のものが自動的に導かれるわけでもありません。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681"/>
        <w:gridCol w:w="5044"/>
        <w:gridCol w:w="3165"/>
      </w:tblGrid>
      <w:tr>
        <w:trPr>
          <w:tblHeader w:val="true"/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2"/>
              </w:rPr>
              <w:t>区分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2"/>
              </w:rPr>
              <w:t>用語と意味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2"/>
              </w:rPr>
              <w:t>使用規則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2"/>
              </w:rPr>
              <w:t>システムのモード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支援 - 結果を選ばず、要素を準備し、整理し、見えるようにします。 提案 - 専門能力を備えた人が変更または拒否できる選択肢を推奨します。 決定 - 委任範囲内で結果を選びます。 実行 - サービス、現実世界、または権利に影響を及ぼします。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業務と段階ごとに、行使される権限を示します。同じシステム内でも変わることがあります。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2"/>
              </w:rPr>
              <w:t>根拠の状態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十分 - 明記されたバージョン、日付、範囲内なら判断できます。 未解決 - 根拠、責任者、期限が必要です。 阻止条件 - その条件が変わらない限り、権限委譲を阻むか、利用範囲の縮小または利用停止を求めます。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テストの各問いについて根拠の状態を示します。製品を肯定的に評価するものではなく、平均値も算出しません。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2"/>
              </w:rPr>
              <w:t>組織としての決定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進める - 明記された範囲を認可します。 範囲を限定して試す - 範囲が限定され、可逆的で、停止可能な試行を認可します。 委任しない - 現在の状況ではその権限を委ねず、代替策、コスト、再審査を記録します。 中止する - すでに有効な認可を停止します。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全体としての選択を記録します。モードからも、「十分」とされた根拠の数からも自動的には導かれません。</w:t>
            </w:r>
          </w:p>
        </w:tc>
      </w:tr>
    </w:tbl>
    <w:p>
      <w:pPr>
        <w:spacing w:after="0"/>
      </w:pPr>
    </w:p>
    <w:p>
      <w:pPr>
        <w:pStyle w:val="Heading1"/>
      </w:pPr>
      <w:r>
        <w:t>テストから組織としての決定へ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374"/>
        <w:gridCol w:w="7516"/>
      </w:tblGrid>
      <w:tr>
        <w:trPr>
          <w:tblHeader w:val="true"/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段階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観察可能な状態に保つべきもの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1. テスト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目的、委任範囲、根拠、配分、損害、救済、離脱。各問いの根拠と、相殺できない条件。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2. 委任範囲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業務、モード、データ、関係者、場所、期間、処理量、記録、禁止事項、しきい値、停止権限。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3. ライフサイクルのモニタリング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バージョン、便益、例外、監督負荷、インシデント、救済、残存能力、離脱テスト。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4. 範囲を限定する、離脱する、または中止する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条件が成り立たなくなったときは、委任範囲を狭め、縮退モードへ移行し、別の手段に置き換えるか、停止します。</w:t>
            </w:r>
          </w:p>
        </w:tc>
      </w:tr>
    </w:tbl>
    <w:p>
      <w:pPr>
        <w:spacing w:after="0"/>
      </w:pP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Noto Sans CJK JP" w:hAnsi="Noto Sans CJK JP" w:eastAsia="Noto Sans CJK JP" w:cs="Noto Sans CJK JP"/>
                <w:b/>
                <w:color w:val="B54B2A"/>
                <w:sz w:val="17"/>
              </w:rPr>
              <w:t xml:space="preserve">重要  </w:t>
            </w:r>
            <w:r>
              <w:rPr>
                <w:rFonts w:ascii="Noto Sans CJK JP" w:hAnsi="Noto Sans CJK JP" w:eastAsia="Noto Sans CJK JP" w:cs="Noto Sans CJK JP"/>
                <w:color w:val="1E2528"/>
                <w:sz w:val="18"/>
              </w:rPr>
              <w:t>『支援』は『進める』と同じではなく、『十分』は肯定的な評価と同じではありません。モデル、データ、提供事業者、利用規模、業務、責任者が変われば、テストを再度実施します。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2050年テスト記入シート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全6ページで、識別事項、七つの問い、モニタリング、決定、再審査を記録します。日付を付した事実を用いてください。『十分』は明記した範囲内でのみ有効です。『未解決』には根拠と期限が必要で、『阻止条件』は認可を狭めるか停止します。便益によって、救済、離脱、停止権限の欠如を相殺することはできません。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450"/>
        <w:gridCol w:w="5440"/>
      </w:tblGrid>
      <w:tr>
        <w:trPr>
          <w:tblHeader w:val="true"/>
          <w:cantSplit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1ページ - 最低限の識別事項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記入欄</w:t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問題、受益者、成功基準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影響を受ける決定またはサービス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システム、バージョン、提供事業者、主要な依存関係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必要なデータと禁止するデータ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影響を受ける人々と保護が弱い集団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許容できない損害と損害発生までの時間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検証された理解可能性と使用した限界事例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停止権限と縮退モード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作成者、役割、決定責任者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日付、再審査の理由、予定終了日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七つの問い - 目的と委任範囲</w:t>
      </w:r>
    </w:p>
    <w:p>
      <w:pPr>
        <w:pStyle w:val="Heading2"/>
      </w:pPr>
      <w:r>
        <w:t>1. 目的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どのような観察可能な問題に、誰のために取り組み、改善をどの基準で測りますか？ より介入の少ない代替策と、介入しない場合のコストを比較しましたか？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2. 委任範囲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業務ごとに、システムは「支援」「提案」「決定」「実行」のどのモードで動きますか？ どのデータ、関係者、場所、期間、処理量が権限の範囲を定め、どの行為が禁止され、停止権限を持つのは誰ですか？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七つの問い - 根拠と配分</w:t>
      </w:r>
    </w:p>
    <w:p>
      <w:pPr>
        <w:pStyle w:val="Heading2"/>
      </w:pPr>
      <w:r>
        <w:t>3. 根拠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どの情報源、データ、その文脈での性能、限界、失敗事例が、その選択を裏づけていますか？ 理解可能性は、利用できる時間内に、通常の事例と限界事例を一つずつ用いて検証されましたか？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4. 配分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誰が便益、時間、権力を得て、誰が労働、リスク、物的コスト、研修負担、異議申立ての困難を引き受けますか？ 是正中、また権限委譲が始まらない場合、その費用を負担するのは誰ですか？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七つの問い - 損害と救済</w:t>
      </w:r>
    </w:p>
    <w:p>
      <w:pPr>
        <w:pStyle w:val="Heading2"/>
      </w:pPr>
      <w:r>
        <w:t>5. 損害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現実に起こり得る失敗にはどのようなものがあり、その深刻度と可逆性はどの程度で、修正が難しくなるまでにどれほどの時間がありますか？ 許容できないのはどのしきい値で、どのような修復がなお可能ですか？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6. 救済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結果の影響を受ける人は、分かりやすい通知を受け取り、訂正可能な事項にアクセスし、停止や変更を行い、理由を付した結果を通知する権限を持つ適任の再審査担当者に、間に合ううちにたどり着けますか？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七つの問い - 離脱とモニタリング</w:t>
      </w:r>
    </w:p>
    <w:p>
      <w:pPr>
        <w:pStyle w:val="Heading2"/>
      </w:pPr>
      <w:r>
        <w:t>7. 離脱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データ、権利、不可欠なサービスを維持したまま、システムを停止または別の手段に置き換えられますか？ 設定、アクセス権限、記録は再利用できるか、縮退モードは検証済みか、最後の実地検証はいつ行われ、その費用を負担するのは誰ですか？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ライフサイクルのモニタリングへ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253"/>
        <w:gridCol w:w="5637"/>
      </w:tblGrid>
      <w:tr>
        <w:trPr>
          <w:tblHeader w:val="true"/>
          <w:cantSplit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モニタリング項目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更新内容</w:t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現在の委任範囲、モード、バージョン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記録票と比較した便益と損害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例外、インシデント、救済申立て、是正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監督負荷、研修、残存能力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最後の離脱テスト：日付、結果、転嫁されたコスト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範囲縮小または中止のしきい値に到達したか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責任者と次回の再審査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決定と条件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560"/>
        <w:gridCol w:w="6330"/>
      </w:tblGrid>
      <w:tr>
        <w:trPr>
          <w:tblHeader w:val="true"/>
          <w:cantSplit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項目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決定と条件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組織としての決定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[ ] 進める [ ] 範囲を限定して試す [ ] 委任しない [ ] 中止する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理由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決定的な根拠、阻止条件、導入コスト、導入しないコスト。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認可する範囲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業務、モード、データ、関係者、場所、期間、処理量。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禁止または人に留保する行為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人が担い続けるもの、またはシステムの対象外とするもの。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開始前の条件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不足する根拠、責任者、期限、未達時の帰結。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モニタリング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指標、バージョン、例外、監督負荷、しきい値。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縮退モードと停止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維持するサービス、合図、権限者、最長継続時間。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救済と是正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窓口、決定責任者、期限、可能な変更、是正の反映範囲。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維持する代替策と『しない』コスト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権限委譲を始めない、または中止した場合に利用できる業務、サービス、手続。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再審査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日付または前倒し再審査を開始する事象。前版から始め、根拠、しきい値、変更点を示します。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責任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氏名、役割、記録した異論、署名、日付。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3"/>
      <w:footerReference w:type="even" r:id="rId14"/>
      <w:pgSz w:w="11905" w:h="16838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Noto Sans CJK JP" w:hAnsi="Noto Sans CJK JP" w:eastAsia="Noto Sans CJK JP" w:cs="Noto Sans CJK JP"/>
        <w:color w:val="5D6870"/>
        <w:sz w:val="14"/>
      </w:rPr>
      <w:t>2050 - JA-JP-R1 - A4 - 日本語版アーカイブ - 2026年7月</w:t>
    </w:r>
    <w:r>
      <w:tab/>
    </w:r>
    <w:r>
      <w:rPr>
        <w:rFonts w:ascii="Noto Sans CJK JP" w:hAnsi="Noto Sans CJK JP" w:eastAsia="Noto Sans CJK JP" w:cs="Noto Sans CJK JP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 w:cs="Noto Sans CJK JP"/>
        <w:color w:val="5D6870"/>
        <w:sz w:val="15"/>
      </w:rPr>
      <w:t>https://www.corneritaliano.com/ja/2050/resources/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Noto Sans CJK JP" w:hAnsi="Noto Sans CJK JP" w:eastAsia="Noto Sans CJK JP" w:cs="Noto Sans CJK JP"/>
        <w:color w:val="5D6870"/>
        <w:sz w:val="14"/>
      </w:rPr>
      <w:t>2050 - JA-JP-R1 - A4 - 日本語版アーカイブ - 2026年7月</w:t>
    </w:r>
    <w:r>
      <w:tab/>
    </w:r>
    <w:r>
      <w:rPr>
        <w:rFonts w:ascii="Noto Sans CJK JP" w:hAnsi="Noto Sans CJK JP" w:eastAsia="Noto Sans CJK JP" w:cs="Noto Sans CJK JP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Noto Sans CJK JP" w:hAnsi="Noto Sans CJK JP" w:eastAsia="Noto Sans CJK JP" w:cs="Noto Sans CJK JP"/>
        <w:b/>
        <w:color w:val="B54B2A"/>
        <w:sz w:val="15"/>
      </w:rPr>
      <w:t xml:space="preserve">2050  |  公式資料  |  </w:t>
    </w:r>
    <w:r>
      <w:rPr>
        <w:rFonts w:ascii="Noto Sans CJK JP" w:hAnsi="Noto Sans CJK JP" w:eastAsia="Noto Sans CJK JP" w:cs="Noto Sans CJK JP"/>
        <w:color w:val="5D6870"/>
        <w:sz w:val="15"/>
      </w:rPr>
      <w:t>実践ワークブック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Noto Sans CJK JP" w:hAnsi="Noto Sans CJK JP" w:eastAsia="Noto Sans CJK JP" w:cs="Noto Sans CJK JP"/>
        <w:b/>
        <w:color w:val="B54B2A"/>
        <w:sz w:val="15"/>
      </w:rPr>
      <w:t xml:space="preserve">2050  |  公式資料  |  </w:t>
    </w:r>
    <w:r>
      <w:rPr>
        <w:rFonts w:ascii="Noto Sans CJK JP" w:hAnsi="Noto Sans CJK JP" w:eastAsia="Noto Sans CJK JP" w:cs="Noto Sans CJK JP"/>
        <w:color w:val="5D6870"/>
        <w:sz w:val="15"/>
      </w:rPr>
      <w:t>実践ワークブック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ja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ja-JP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69" w:lineRule="auto"/>
    </w:pPr>
    <w:rPr>
      <w:rFonts w:ascii="Noto Sans CJK JP" w:hAnsi="Noto Sans CJK JP" w:eastAsia="Noto Sans CJK JP" w:cs="Noto Sans CJK JP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Noto Sans CJK JP" w:hAnsi="Noto Sans CJK JP" w:eastAsia="Noto Sans CJK JP" w:cs="Noto Sans CJK JP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Noto Sans CJK JP" w:hAnsi="Noto Sans CJK JP" w:eastAsia="Noto Sans CJK JP" w:cs="Noto Sans CJK 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Noto Sans CJK JP" w:hAnsi="Noto Sans CJK JP" w:eastAsia="Noto Sans CJK JP" w:cs="Noto Sans CJK JP"/>
    </w:rPr>
  </w:style>
  <w:style w:type="table" w:default="1" w:styleId="TableNormal">
    <w:name w:val="Normal Table"/>
    <w:uiPriority w:val="99"/>
    <w:semiHidden/>
    <w:unhideWhenUsed/>
    <w:rPr>
      <w:rFonts w:ascii="Noto Sans CJK JP" w:hAnsi="Noto Sans CJK JP" w:eastAsia="Noto Sans CJK JP" w:cs="Noto Sans CJK JP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Noto Sans CJK JP" w:hAnsi="Noto Sans CJK JP" w:eastAsia="Noto Sans CJK JP" w:cs="Noto Sans CJK JP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Noto Sans CJK JP" w:hAnsi="Noto Sans CJK JP" w:eastAsia="Noto Sans CJK JP" w:cs="Noto Sans CJK JP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JP" w:hAnsi="Noto Sans CJK JP" w:eastAsia="Noto Sans CJK JP" w:cs="Noto Sans CJK JP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Noto Sans CJK JP" w:hAnsi="Noto Sans CJK JP" w:eastAsia="Noto Sans CJK JP" w:cs="Noto Sans CJK JP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Noto Sans CJK JP" w:hAnsi="Noto Sans CJK JP" w:eastAsia="Noto Sans CJK JP" w:cs="Noto Sans CJK JP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Noto Sans CJK JP" w:hAnsi="Noto Sans CJK JP" w:eastAsia="Noto Sans CJK JP" w:cs="Noto Sans CJK JP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Noto Sans CJK JP" w:hAnsi="Noto Sans CJK JP" w:eastAsia="Noto Sans CJK JP" w:cs="Noto Sans CJK JP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Noto Sans CJK JP" w:hAnsi="Noto Sans CJK JP" w:eastAsia="Noto Sans CJK JP" w:cs="Noto Sans CJK JP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Noto Sans CJK JP" w:hAnsi="Noto Sans CJK JP" w:eastAsia="Noto Sans CJK JP" w:cs="Noto Sans CJK JP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Noto Sans CJK JP" w:hAnsi="Noto Sans CJK JP" w:eastAsia="Noto Sans CJK JP" w:cs="Noto Sans CJK JP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Noto Sans CJK JP" w:hAnsi="Noto Sans CJK JP" w:eastAsia="Noto Sans CJK JP" w:cs="Noto Sans CJK JP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JP" w:hAnsi="Noto Sans CJK JP" w:eastAsia="Noto Sans CJK JP" w:cs="Noto Sans CJK JP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JP" w:hAnsi="Noto Sans CJK JP" w:eastAsia="Noto Sans CJK JP" w:cs="Noto Sans CJK JP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Noto Sans CJK JP" w:hAnsi="Noto Sans CJK JP" w:eastAsia="Noto Sans CJK JP" w:cs="Noto Sans CJK JP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JP" w:hAnsi="Noto Sans CJK JP" w:eastAsia="Noto Sans CJK JP" w:cs="Noto Sans CJK JP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Noto Sans CJK JP" w:hAnsi="Noto Sans CJK JP" w:eastAsia="Noto Sans CJK JP" w:cs="Noto Sans CJK JP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Noto Sans CJK JP" w:hAnsi="Noto Sans CJK JP" w:eastAsia="Noto Sans CJK JP" w:cs="Noto Sans CJK JP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Noto Sans CJK JP" w:hAnsi="Noto Sans CJK JP" w:eastAsia="Noto Sans CJK JP" w:cs="Noto Sans CJK JP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Noto Sans CJK JP" w:hAnsi="Noto Sans CJK JP" w:eastAsia="Noto Sans CJK JP" w:cs="Noto Sans CJK JP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Noto Sans CJK JP" w:hAnsi="Noto Sans CJK JP" w:eastAsia="Noto Sans CJK JP" w:cs="Noto Sans CJK JP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Noto Sans CJK JP" w:hAnsi="Noto Sans CJK JP" w:eastAsia="Noto Sans CJK JP" w:cs="Noto Sans CJK JP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Noto Sans CJK JP" w:hAnsi="Noto Sans CJK JP" w:eastAsia="Noto Sans CJK JP" w:cs="Noto Sans CJK JP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Noto Sans CJK JP" w:hAnsi="Noto Sans CJK JP" w:eastAsia="Noto Sans CJK JP" w:cs="Noto Sans CJK JP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Noto Sans CJK JP" w:hAnsi="Noto Sans CJK JP" w:eastAsia="Noto Sans CJK JP" w:cs="Noto Sans CJK JP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Noto Sans CJK JP" w:hAnsi="Noto Sans CJK JP" w:eastAsia="Noto Sans CJK JP" w:cs="Noto Sans CJK JP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Noto Sans CJK JP" w:hAnsi="Noto Sans CJK JP" w:eastAsia="Noto Sans CJK JP" w:cs="Noto Sans CJK JP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Noto Sans CJK JP" w:hAnsi="Noto Sans CJK JP" w:eastAsia="Noto Sans CJK JP" w:cs="Noto Sans CJK JP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Noto Sans CJK JP" w:hAnsi="Noto Sans CJK JP" w:eastAsia="Noto Sans CJK JP" w:cs="Noto Sans CJK JP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Noto Sans CJK JP" w:hAnsi="Noto Sans CJK JP" w:eastAsia="Noto Sans CJK JP" w:cs="Noto Sans CJK JP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Noto Sans CJK JP" w:hAnsi="Noto Sans CJK JP" w:eastAsia="Noto Sans CJK JP" w:cs="Noto Sans CJK JP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Noto Sans CJK JP" w:hAnsi="Noto Sans CJK JP" w:eastAsia="Noto Sans CJK JP" w:cs="Noto Sans CJK JP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Noto Sans CJK JP" w:hAnsi="Noto Sans CJK JP" w:eastAsia="Noto Sans CJK JP" w:cs="Noto Sans CJK JP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https://www.corneritaliano.com/ja/2050/resources/" TargetMode="External"/><Relationship Id="rId13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実践ワークブック</dc:title>
  <dc:subject>『2050年 - AIと、私たちを人間たらしめるもの』公式補助資料</dc:subject>
  <dc:creator>Corner Italiano LLC</dc:creator>
  <cp:keywords>2050, 人工知能, 2050年テスト, 公式資料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