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40"/>
        <w:jc w:val="center"/>
      </w:pPr>
      <w:r>
        <w:drawing>
          <wp:inline xmlns:a="http://schemas.openxmlformats.org/drawingml/2006/main" xmlns:pic="http://schemas.openxmlformats.org/drawingml/2006/picture">
            <wp:extent cx="1508760" cy="1005840"/>
            <wp:docPr id="1" name="Picture 1" descr="Corner Italianoの出版ロゴ" title="Corner Italiano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rner-italiano-logo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10058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520" w:after="160"/>
        <w:jc w:val="center"/>
      </w:pPr>
      <w:r>
        <w:rPr>
          <w:rFonts w:ascii="Noto Sans CJK JP" w:hAnsi="Noto Sans CJK JP" w:eastAsia="Noto Sans CJK JP" w:cs="Noto Sans CJK JP"/>
          <w:b/>
          <w:color w:val="B54B2A"/>
          <w:sz w:val="17"/>
        </w:rPr>
        <w:t>CORNER ITALIANO  |  公式資料</w:t>
      </w:r>
    </w:p>
    <w:p>
      <w:pPr>
        <w:pStyle w:val="Title"/>
        <w:jc w:val="center"/>
      </w:pPr>
      <w:r>
        <w:rPr>
          <w:rFonts w:ascii="Noto Sans CJK JP" w:hAnsi="Noto Sans CJK JP" w:eastAsia="Noto Sans CJK JP" w:cs="Noto Sans CJK JP"/>
          <w:b/>
          <w:color w:val="123044"/>
          <w:sz w:val="50"/>
        </w:rPr>
        <w:t>重要年表</w:t>
      </w:r>
    </w:p>
    <w:p>
      <w:pPr>
        <w:pStyle w:val="Subtitle"/>
        <w:jc w:val="center"/>
      </w:pPr>
      <w:r>
        <w:rPr>
          <w:rFonts w:ascii="Noto Sans CJK JP" w:hAnsi="Noto Sans CJK JP" w:eastAsia="Noto Sans CJK JP" w:cs="Noto Sans CJK JP"/>
          <w:color w:val="5D6870"/>
          <w:sz w:val="24"/>
        </w:rPr>
        <w:t>AIの成立から2050年の物語上のしきい値まで</w:t>
      </w:r>
    </w:p>
    <w:p>
      <w:pPr>
        <w:spacing w:before="440"/>
        <w:jc w:val="center"/>
      </w:pPr>
      <w:r>
        <w:rPr>
          <w:rFonts w:ascii="Noto Sans CJK JP" w:hAnsi="Noto Sans CJK JP" w:eastAsia="Noto Sans CJK JP" w:cs="Noto Sans CJK JP"/>
          <w:b/>
          <w:color w:val="B54B2A"/>
          <w:sz w:val="17"/>
        </w:rPr>
        <w:t>事実、要約、規制、物語上の設定</w:t>
      </w:r>
    </w:p>
    <w:p>
      <w:pPr>
        <w:jc w:val="center"/>
      </w:pPr>
      <w:r>
        <w:rPr>
          <w:rFonts w:ascii="Noto Sans CJK JP" w:hAnsi="Noto Sans CJK JP" w:eastAsia="Noto Sans CJK JP" w:cs="Noto Sans CJK JP"/>
          <w:color w:val="234C61"/>
          <w:sz w:val="18"/>
        </w:rPr>
        <w:t>日本語版アーカイブ - 2026年7月 - A4版</w:t>
      </w:r>
    </w:p>
    <w:p>
      <w:pPr>
        <w:spacing w:before="360"/>
        <w:jc w:val="center"/>
      </w:pPr>
      <w:hyperlink r:id="rId13">
        <w:r>
          <w:rPr>
            <w:rFonts w:ascii="Noto Sans CJK JP" w:hAnsi="Noto Sans CJK JP" w:eastAsia="Noto Sans CJK JP" w:cs="Noto Sans CJK JP"/>
            <w:color w:val="234C61"/>
            <w:u w:val="single"/>
            <w:sz w:val="18"/>
          </w:rPr>
          <w:t>https://www.corneritaliano.com/ja/2050/resources/</w:t>
        </w:r>
      </w:hyperlink>
    </w:p>
    <w:p>
      <w:r>
        <w:br w:type="page"/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50" w:type="dxa"/>
        <w:tblBorders>
          <w:top w:val="single" w:sz="7" w:space="0" w:color="B54B2A"/>
          <w:left w:val="single" w:sz="7" w:space="0" w:color="B54B2A"/>
          <w:bottom w:val="single" w:sz="7" w:space="0" w:color="B54B2A"/>
          <w:right w:val="single" w:sz="7" w:space="0" w:color="B54B2A"/>
          <w:insideH w:val="single" w:sz="7" w:space="0" w:color="B54B2A"/>
          <w:insideV w:val="single" w:sz="7" w:space="0" w:color="B54B2A"/>
        </w:tblBorders>
      </w:tblPr>
      <w:tblGrid>
        <w:gridCol w:w="9890"/>
      </w:tblGrid>
      <w:tr>
        <w:trPr>
          <w:cantSplit/>
        </w:trPr>
        <w:tc>
          <w:tcPr>
            <w:tcW w:type="dxa" w:w="9890"/>
            <w:shd w:fill="F7E7E0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>
              <w:rPr>
                <w:rFonts w:ascii="Noto Sans CJK JP" w:hAnsi="Noto Sans CJK JP" w:eastAsia="Noto Sans CJK JP" w:cs="Noto Sans CJK JP"/>
                <w:b/>
                <w:color w:val="B54B2A"/>
                <w:sz w:val="17"/>
              </w:rPr>
              <w:t xml:space="preserve">方法  </w:t>
            </w:r>
            <w:r>
              <w:rPr>
                <w:rFonts w:ascii="Noto Sans CJK JP" w:hAnsi="Noto Sans CJK JP" w:eastAsia="Noto Sans CJK JP" w:cs="Noto Sans CJK JP"/>
                <w:color w:val="1E2528"/>
                <w:sz w:val="18"/>
              </w:rPr>
              <w:t>本書を読み進めるために必要な節目を選び、それぞれを歴史的事実または要約、規制上の事実、物語上の設定、著者の提案として明示します。歴史と規制の項目は資料センターの検索可能な文献資料一覧に対応します。2050年ごろの場面は予測ではなく物語上の条件であり、本書の提案は根拠と文脈に照らして検証、修正、または放棄されるべきものです。</w:t>
            </w:r>
          </w:p>
        </w:tc>
      </w:tr>
    </w:tbl>
    <w:p>
      <w:pPr>
        <w:spacing w:after="0"/>
      </w:pP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2176"/>
        <w:gridCol w:w="7714"/>
      </w:tblGrid>
      <w:tr>
        <w:trPr>
          <w:tblHeader w:val="true"/>
          <w:cantSplit/>
        </w:trPr>
        <w:tc>
          <w:tcPr>
            <w:tcW w:type="dxa" w:w="217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FFFFFF"/>
                <w:sz w:val="13"/>
              </w:rPr>
              <w:t>年・期間</w:t>
            </w:r>
          </w:p>
        </w:tc>
        <w:tc>
          <w:tcPr>
            <w:tcW w:type="dxa" w:w="771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FFFFFF"/>
                <w:sz w:val="13"/>
              </w:rPr>
              <w:t>節目と区分</w:t>
            </w:r>
          </w:p>
        </w:tc>
      </w:tr>
      <w:tr>
        <w:trPr>
          <w:cantSplit/>
        </w:trPr>
        <w:tc>
          <w:tcPr>
            <w:tcW w:type="dxa" w:w="217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1950年</w:t>
            </w:r>
          </w:p>
        </w:tc>
        <w:tc>
          <w:tcPr>
            <w:tcW w:type="dxa" w:w="771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  <w:t>歴史的事実。アラン・チューリングは『Computing Machinery and Intelligence』を発表し、「機械は考えられるか」という抽象的な問いを模倣ゲームへ置き換え、観察可能な行動へ焦点を移しました。</w:t>
            </w:r>
          </w:p>
        </w:tc>
      </w:tr>
      <w:tr>
        <w:trPr>
          <w:cantSplit/>
        </w:trPr>
        <w:tc>
          <w:tcPr>
            <w:tcW w:type="dxa" w:w="217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1955-1956年</w:t>
            </w:r>
          </w:p>
        </w:tc>
        <w:tc>
          <w:tcPr>
            <w:tcW w:type="dxa" w:w="771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  <w:t>歴史的事実。ジョン・マッカーシー、マーヴィン・ミンスキー、ナサニエル・ロチェスター、クロード・シャノンがダートマス夏季研究会の提案を作成し、「人工知能」という言葉が新しい研究分野の象徴となりました。</w:t>
            </w:r>
          </w:p>
        </w:tc>
      </w:tr>
      <w:tr>
        <w:trPr>
          <w:cantSplit/>
        </w:trPr>
        <w:tc>
          <w:tcPr>
            <w:tcW w:type="dxa" w:w="217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1950年代末</w:t>
            </w:r>
          </w:p>
        </w:tc>
        <w:tc>
          <w:tcPr>
            <w:tcW w:type="dxa" w:w="771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  <w:t>歴史的要約。フランク・ローゼンブラットのパーセプトロンは、機械が例から学べるという考えを前進させましたが、ハードウェア、データ、手法にはまだ大きな制約がありました。</w:t>
            </w:r>
          </w:p>
        </w:tc>
      </w:tr>
      <w:tr>
        <w:trPr>
          <w:cantSplit/>
        </w:trPr>
        <w:tc>
          <w:tcPr>
            <w:tcW w:type="dxa" w:w="217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1966年</w:t>
            </w:r>
          </w:p>
        </w:tc>
        <w:tc>
          <w:tcPr>
            <w:tcW w:type="dxa" w:w="771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  <w:t>歴史的事実。ジョセフ・ワイゼンバウムは、規則とキーワードによって驚くほど「聞いている」印象を生む簡単なプログラムELIZAを発表しました。</w:t>
            </w:r>
          </w:p>
        </w:tc>
      </w:tr>
      <w:tr>
        <w:trPr>
          <w:cantSplit/>
        </w:trPr>
        <w:tc>
          <w:tcPr>
            <w:tcW w:type="dxa" w:w="217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1969年</w:t>
            </w:r>
          </w:p>
        </w:tc>
        <w:tc>
          <w:tcPr>
            <w:tcW w:type="dxa" w:w="771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  <w:t>歴史的事実と要約。マーヴィン・ミンスキーとシーモア・パパートは単純なパーセプトロンの限界を分析しました。その後のAIの冬には、約束、資金、計算能力、成果の隔たりも反映されています。</w:t>
            </w:r>
          </w:p>
        </w:tc>
      </w:tr>
      <w:tr>
        <w:trPr>
          <w:cantSplit/>
        </w:trPr>
        <w:tc>
          <w:tcPr>
            <w:tcW w:type="dxa" w:w="217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1969年</w:t>
            </w:r>
          </w:p>
        </w:tc>
        <w:tc>
          <w:tcPr>
            <w:tcW w:type="dxa" w:w="771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  <w:t>インフラ史。ARPANETが二つのノード間で最初のメッセージを送り、パケット交換ネットワークを実証し、より広い通信アーキテクチャへの道を開きました。</w:t>
            </w:r>
          </w:p>
        </w:tc>
      </w:tr>
      <w:tr>
        <w:trPr>
          <w:cantSplit/>
        </w:trPr>
        <w:tc>
          <w:tcPr>
            <w:tcW w:type="dxa" w:w="217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1983年1月1日</w:t>
            </w:r>
          </w:p>
        </w:tc>
        <w:tc>
          <w:tcPr>
            <w:tcW w:type="dxa" w:w="771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  <w:t>インフラ史。ARPANETがTCP/IPへの移行を完了し、異なるネットワークが共通のプロトコル群で通信できるようになりました。ネットワークのネットワークとしてのインターネットにとって決定的な一歩です。</w:t>
            </w:r>
          </w:p>
        </w:tc>
      </w:tr>
      <w:tr>
        <w:trPr>
          <w:cantSplit/>
        </w:trPr>
        <w:tc>
          <w:tcPr>
            <w:tcW w:type="dxa" w:w="217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1986年</w:t>
            </w:r>
          </w:p>
        </w:tc>
        <w:tc>
          <w:tcPr>
            <w:tcW w:type="dxa" w:w="771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  <w:t>歴史的事実。デイヴィッド・ラメルハート、ジェフリー・ヒントン、ロナルド・ウィリアムズは、誤差逆伝播法で多層ネットワークを学習できることを影響力の大きい形で示しました。</w:t>
            </w:r>
          </w:p>
        </w:tc>
      </w:tr>
      <w:tr>
        <w:trPr>
          <w:cantSplit/>
        </w:trPr>
        <w:tc>
          <w:tcPr>
            <w:tcW w:type="dxa" w:w="217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1989-1991年</w:t>
            </w:r>
          </w:p>
        </w:tc>
        <w:tc>
          <w:tcPr>
            <w:tcW w:type="dxa" w:w="771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  <w:t>インフラ史。ティム・バーナーズ＝リーは1989年にCERNでWorld Wide Webを提案し、最初のブラウザーとサーバーを開発しました。1991年には研究室の外へ広がり始め、ネットワークをハイパーテキストで閲覧する道が開かれました。</w:t>
            </w:r>
          </w:p>
        </w:tc>
      </w:tr>
      <w:tr>
        <w:trPr>
          <w:cantSplit/>
        </w:trPr>
        <w:tc>
          <w:tcPr>
            <w:tcW w:type="dxa" w:w="217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1997年</w:t>
            </w:r>
          </w:p>
        </w:tc>
        <w:tc>
          <w:tcPr>
            <w:tcW w:type="dxa" w:w="771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  <w:t>歴史的事実。Deep Blueが6局の対戦でガルリ・カスパロフを破り、規則が閉じた領域における計算の力を広く可視化しました。</w:t>
            </w:r>
          </w:p>
        </w:tc>
      </w:tr>
      <w:tr>
        <w:trPr>
          <w:cantSplit/>
        </w:trPr>
        <w:tc>
          <w:tcPr>
            <w:tcW w:type="dxa" w:w="217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1990年代から2000年代初頭</w:t>
            </w:r>
          </w:p>
        </w:tc>
        <w:tc>
          <w:tcPr>
            <w:tcW w:type="dxa" w:w="771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  <w:t>歴史的要約。インターネット、Web、モバイルサービスによって、ネットワークは専門環境から日常の基盤へ変わり、記録、ID、通信、サービスは相互接続システムへの依存を深めました。</w:t>
            </w:r>
          </w:p>
        </w:tc>
      </w:tr>
      <w:tr>
        <w:trPr>
          <w:cantSplit/>
        </w:trPr>
        <w:tc>
          <w:tcPr>
            <w:tcW w:type="dxa" w:w="217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2012年</w:t>
            </w:r>
          </w:p>
        </w:tc>
        <w:tc>
          <w:tcPr>
            <w:tcW w:type="dxa" w:w="771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  <w:t>歴史的事実。AlexNetがGPUを用いてImageNet競技で大幅に優れた結果を示し、画像認識における深層学習の加速を可視化しました。</w:t>
            </w:r>
          </w:p>
        </w:tc>
      </w:tr>
      <w:tr>
        <w:trPr>
          <w:cantSplit/>
        </w:trPr>
        <w:tc>
          <w:tcPr>
            <w:tcW w:type="dxa" w:w="217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2017年</w:t>
            </w:r>
          </w:p>
        </w:tc>
        <w:tc>
          <w:tcPr>
            <w:tcW w:type="dxa" w:w="771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  <w:t>歴史的事実。『Attention Is All You Need』がTransformerアーキテクチャを提示し、後に大規模言語モデルと多数の生成システムの中核となりました。</w:t>
            </w:r>
          </w:p>
        </w:tc>
      </w:tr>
      <w:tr>
        <w:trPr>
          <w:cantSplit/>
        </w:trPr>
        <w:tc>
          <w:tcPr>
            <w:tcW w:type="dxa" w:w="217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2022年11月30日</w:t>
            </w:r>
          </w:p>
        </w:tc>
        <w:tc>
          <w:tcPr>
            <w:tcW w:type="dxa" w:w="771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  <w:t>歴史的事実。ChatGPTが研究プレビューとして一般公開され、対話型AIを日常的な規模で利用できるようにしました。</w:t>
            </w:r>
          </w:p>
        </w:tc>
      </w:tr>
      <w:tr>
        <w:trPr>
          <w:cantSplit/>
        </w:trPr>
        <w:tc>
          <w:tcPr>
            <w:tcW w:type="dxa" w:w="217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2010年代と2020年代</w:t>
            </w:r>
          </w:p>
        </w:tc>
        <w:tc>
          <w:tcPr>
            <w:tcW w:type="dxa" w:w="771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  <w:t>歴史的要約。クラウド、データセンター、API、プラットフォーム、接続機器が組み合わさり、仕事、医療、行政、移動、情報が依存する、ますます見えにくい基盤となりました。</w:t>
            </w:r>
          </w:p>
        </w:tc>
      </w:tr>
      <w:tr>
        <w:trPr>
          <w:cantSplit/>
        </w:trPr>
        <w:tc>
          <w:tcPr>
            <w:tcW w:type="dxa" w:w="217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2024年8月1日</w:t>
            </w:r>
          </w:p>
        </w:tc>
        <w:tc>
          <w:tcPr>
            <w:tcW w:type="dxa" w:w="771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  <w:t>規制上の事実。AI Actとして知られる規則（EU）2024/1689が発効しました。規定は段階的に適用され、この日にすべての義務が同時に始まったわけではありません。</w:t>
            </w:r>
          </w:p>
        </w:tc>
      </w:tr>
      <w:tr>
        <w:trPr>
          <w:cantSplit/>
        </w:trPr>
        <w:tc>
          <w:tcPr>
            <w:tcW w:type="dxa" w:w="217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2050年ごろ</w:t>
            </w:r>
          </w:p>
        </w:tc>
        <w:tc>
          <w:tcPr>
            <w:tcW w:type="dxa" w:w="771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  <w:t>物語上の設定。テーマ別の小景は複数年にわたります。14か月と18か月の間隔はアシャの物語、6か月後の再審査はマルタとリディア、そしてダヴィデに属します。将来の日付、費用、時間、数量、能力、地政学的配置は物語の条件であり、予測や観測値ではありません。範囲を限定した試験、中止した計画、採用しなかった計画も含みます。</w:t>
            </w:r>
          </w:p>
        </w:tc>
      </w:tr>
      <w:tr>
        <w:trPr>
          <w:cantSplit/>
        </w:trPr>
        <w:tc>
          <w:tcPr>
            <w:tcW w:type="dxa" w:w="217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本書の提案</w:t>
            </w:r>
          </w:p>
        </w:tc>
        <w:tc>
          <w:tcPr>
            <w:tcW w:type="dxa" w:w="771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  <w:t>著者の提案。2050年テスト、証明の最小化、運用ツイン、動的ライセンス、死後のデジタル指示は、検証し、修正し、必要なら放棄すべき道具です。既成事実、一様な法律、予測ではありません。</w:t>
            </w:r>
          </w:p>
        </w:tc>
      </w:tr>
    </w:tbl>
    <w:p>
      <w:pPr>
        <w:spacing w:after="0"/>
      </w:pPr>
    </w:p>
    <w:sectPr w:rsidR="00FC693F" w:rsidRPr="0006063C" w:rsidSect="00034616">
      <w:headerReference w:type="default" r:id="rId9"/>
      <w:footerReference w:type="default" r:id="rId10"/>
      <w:footerReference w:type="first" r:id="rId11"/>
      <w:headerReference w:type="even" r:id="rId14"/>
      <w:footerReference w:type="even" r:id="rId15"/>
      <w:pgSz w:w="11905" w:h="16838"/>
      <w:pgMar w:top="893" w:right="1008" w:bottom="893" w:left="1008" w:header="432" w:footer="432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9749" w:val="left"/>
      </w:tabs>
      <w:spacing w:before="0" w:after="0"/>
    </w:pPr>
    <w:r>
      <w:rPr>
        <w:rFonts w:ascii="Noto Sans CJK JP" w:hAnsi="Noto Sans CJK JP" w:eastAsia="Noto Sans CJK JP" w:cs="Noto Sans CJK JP"/>
        <w:color w:val="5D6870"/>
        <w:sz w:val="14"/>
      </w:rPr>
      <w:t>2050 - JA-JP-R1 - A4 - 日本語版アーカイブ - 2026年7月</w:t>
    </w:r>
    <w:r>
      <w:tab/>
    </w:r>
    <w:r>
      <w:rPr>
        <w:rFonts w:ascii="Noto Sans CJK JP" w:hAnsi="Noto Sans CJK JP" w:eastAsia="Noto Sans CJK JP" w:cs="Noto Sans CJK JP"/>
        <w:color w:val="5D6870"/>
        <w:sz w:val="16"/>
      </w:rPr>
      <w:fldChar w:fldCharType="begin"/>
      <w:instrText xml:space="preserve"> PAGE </w:instrText>
      <w:fldChar w:fldCharType="separate"/>
      <w:t>1</w: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Noto Sans CJK JP" w:hAnsi="Noto Sans CJK JP" w:eastAsia="Noto Sans CJK JP" w:cs="Noto Sans CJK JP"/>
        <w:color w:val="5D6870"/>
        <w:sz w:val="15"/>
      </w:rPr>
      <w:t>https://www.corneritaliano.com/ja/2050/resources/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9749" w:val="left"/>
      </w:tabs>
      <w:spacing w:before="0" w:after="0"/>
    </w:pPr>
    <w:r>
      <w:rPr>
        <w:rFonts w:ascii="Noto Sans CJK JP" w:hAnsi="Noto Sans CJK JP" w:eastAsia="Noto Sans CJK JP" w:cs="Noto Sans CJK JP"/>
        <w:color w:val="5D6870"/>
        <w:sz w:val="14"/>
      </w:rPr>
      <w:t>2050 - JA-JP-R1 - A4 - 日本語版アーカイブ - 2026年7月</w:t>
    </w:r>
    <w:r>
      <w:tab/>
    </w:r>
    <w:r>
      <w:rPr>
        <w:rFonts w:ascii="Noto Sans CJK JP" w:hAnsi="Noto Sans CJK JP" w:eastAsia="Noto Sans CJK JP" w:cs="Noto Sans CJK JP"/>
        <w:color w:val="5D6870"/>
        <w:sz w:val="16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Noto Sans CJK JP" w:hAnsi="Noto Sans CJK JP" w:eastAsia="Noto Sans CJK JP" w:cs="Noto Sans CJK JP"/>
        <w:b/>
        <w:color w:val="B54B2A"/>
        <w:sz w:val="15"/>
      </w:rPr>
      <w:t xml:space="preserve">2050  |  公式資料  |  </w:t>
    </w:r>
    <w:r>
      <w:rPr>
        <w:rFonts w:ascii="Noto Sans CJK JP" w:hAnsi="Noto Sans CJK JP" w:eastAsia="Noto Sans CJK JP" w:cs="Noto Sans CJK JP"/>
        <w:color w:val="5D6870"/>
        <w:sz w:val="15"/>
      </w:rPr>
      <w:t>重要年表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Noto Sans CJK JP" w:hAnsi="Noto Sans CJK JP" w:eastAsia="Noto Sans CJK JP" w:cs="Noto Sans CJK JP"/>
        <w:b/>
        <w:color w:val="B54B2A"/>
        <w:sz w:val="15"/>
      </w:rPr>
      <w:t xml:space="preserve">2050  |  公式資料  |  </w:t>
    </w:r>
    <w:r>
      <w:rPr>
        <w:rFonts w:ascii="Noto Sans CJK JP" w:hAnsi="Noto Sans CJK JP" w:eastAsia="Noto Sans CJK JP" w:cs="Noto Sans CJK JP"/>
        <w:color w:val="5D6870"/>
        <w:sz w:val="15"/>
      </w:rPr>
      <w:t>重要年表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ja-JP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ja-JP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60" w:line="269" w:lineRule="auto"/>
    </w:pPr>
    <w:rPr>
      <w:rFonts w:ascii="Noto Sans CJK JP" w:hAnsi="Noto Sans CJK JP" w:eastAsia="Noto Sans CJK JP" w:cs="Noto Sans CJK JP"/>
      <w:color w:val="1E2528"/>
      <w:sz w:val="1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Noto Sans CJK JP" w:hAnsi="Noto Sans CJK JP" w:eastAsia="Noto Sans CJK JP" w:cs="Noto Sans CJK JP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Noto Sans CJK JP" w:hAnsi="Noto Sans CJK JP" w:eastAsia="Noto Sans CJK JP" w:cs="Noto Sans CJK JP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Noto Sans CJK JP" w:hAnsi="Noto Sans CJK JP" w:eastAsia="Noto Sans CJK JP" w:cs="Noto Sans CJK JP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Noto Sans CJK JP" w:hAnsi="Noto Sans CJK JP" w:eastAsia="Noto Sans CJK JP" w:cs="Noto Sans CJK 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8" w:after="104"/>
      <w:outlineLvl w:val="0"/>
    </w:pPr>
    <w:rPr>
      <w:rFonts w:asciiTheme="majorHAnsi" w:eastAsiaTheme="majorEastAsia" w:hAnsiTheme="majorHAnsi" w:cstheme="majorBidi" w:ascii="Noto Sans CJK JP" w:hAnsi="Noto Sans CJK JP" w:eastAsia="Noto Sans CJK JP" w:cs="Noto Sans CJK JP"/>
      <w:b/>
      <w:bCs/>
      <w:color w:val="123044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56" w:after="78"/>
      <w:outlineLvl w:val="1"/>
    </w:pPr>
    <w:rPr>
      <w:rFonts w:asciiTheme="majorHAnsi" w:eastAsiaTheme="majorEastAsia" w:hAnsiTheme="majorHAnsi" w:cstheme="majorBidi" w:ascii="Noto Sans CJK JP" w:hAnsi="Noto Sans CJK JP" w:eastAsia="Noto Sans CJK JP" w:cs="Noto Sans CJK JP"/>
      <w:b/>
      <w:bCs/>
      <w:color w:val="B54B2A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17" w:after="52"/>
      <w:outlineLvl w:val="2"/>
    </w:pPr>
    <w:rPr>
      <w:rFonts w:asciiTheme="majorHAnsi" w:eastAsiaTheme="majorEastAsia" w:hAnsiTheme="majorHAnsi" w:cstheme="majorBidi" w:ascii="Noto Sans CJK JP" w:hAnsi="Noto Sans CJK JP" w:eastAsia="Noto Sans CJK JP" w:cs="Noto Sans CJK JP"/>
      <w:b/>
      <w:bCs/>
      <w:color w:val="234C61"/>
      <w:sz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Noto Sans CJK JP" w:hAnsi="Noto Sans CJK JP" w:eastAsia="Noto Sans CJK JP" w:cs="Noto Sans CJK JP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 w:ascii="Noto Sans CJK JP" w:hAnsi="Noto Sans CJK JP" w:eastAsia="Noto Sans CJK JP" w:cs="Noto Sans CJK JP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 w:ascii="Noto Sans CJK JP" w:hAnsi="Noto Sans CJK JP" w:eastAsia="Noto Sans CJK JP" w:cs="Noto Sans CJK JP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 w:ascii="Noto Sans CJK JP" w:hAnsi="Noto Sans CJK JP" w:eastAsia="Noto Sans CJK JP" w:cs="Noto Sans CJK JP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 w:ascii="Noto Sans CJK JP" w:hAnsi="Noto Sans CJK JP" w:eastAsia="Noto Sans CJK JP" w:cs="Noto Sans CJK JP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 w:ascii="Noto Sans CJK JP" w:hAnsi="Noto Sans CJK JP" w:eastAsia="Noto Sans CJK JP" w:cs="Noto Sans CJK JP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  <w:rPr>
      <w:rFonts w:ascii="Noto Sans CJK JP" w:hAnsi="Noto Sans CJK JP" w:eastAsia="Noto Sans CJK JP" w:cs="Noto Sans CJK JP"/>
    </w:rPr>
  </w:style>
  <w:style w:type="table" w:default="1" w:styleId="TableNormal">
    <w:name w:val="Normal Table"/>
    <w:uiPriority w:val="99"/>
    <w:semiHidden/>
    <w:unhideWhenUsed/>
    <w:rPr>
      <w:rFonts w:ascii="Noto Sans CJK JP" w:hAnsi="Noto Sans CJK JP" w:eastAsia="Noto Sans CJK JP" w:cs="Noto Sans CJK JP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Noto Sans CJK JP" w:hAnsi="Noto Sans CJK JP" w:eastAsia="Noto Sans CJK JP" w:cs="Noto Sans CJK JP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 w:ascii="Noto Sans CJK JP" w:hAnsi="Noto Sans CJK JP" w:eastAsia="Noto Sans CJK JP" w:cs="Noto Sans CJK JP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 w:ascii="Noto Sans CJK JP" w:hAnsi="Noto Sans CJK JP" w:eastAsia="Noto Sans CJK JP" w:cs="Noto Sans CJK JP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 w:ascii="Noto Sans CJK JP" w:hAnsi="Noto Sans CJK JP" w:eastAsia="Noto Sans CJK JP" w:cs="Noto Sans CJK JP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04" w:line="240" w:lineRule="auto" w:before="0"/>
      <w:contextualSpacing/>
    </w:pPr>
    <w:rPr>
      <w:rFonts w:asciiTheme="majorHAnsi" w:eastAsiaTheme="majorEastAsia" w:hAnsiTheme="majorHAnsi" w:cstheme="majorBidi" w:ascii="Noto Sans CJK JP" w:hAnsi="Noto Sans CJK JP" w:eastAsia="Noto Sans CJK JP" w:cs="Noto Sans CJK JP"/>
      <w:b/>
      <w:color w:val="123044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 w:ascii="Noto Sans CJK JP" w:hAnsi="Noto Sans CJK JP" w:eastAsia="Noto Sans CJK JP" w:cs="Noto Sans CJK JP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156"/>
    </w:pPr>
    <w:rPr>
      <w:rFonts w:asciiTheme="majorHAnsi" w:eastAsiaTheme="majorEastAsia" w:hAnsiTheme="majorHAnsi" w:cstheme="majorBidi" w:ascii="Noto Sans CJK JP" w:hAnsi="Noto Sans CJK JP" w:eastAsia="Noto Sans CJK JP" w:cs="Noto Sans CJK JP"/>
      <w:b w:val="0"/>
      <w:i/>
      <w:iCs/>
      <w:color w:val="5D6870"/>
      <w:spacing w:val="15"/>
      <w:sz w:val="2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 w:ascii="Noto Sans CJK JP" w:hAnsi="Noto Sans CJK JP" w:eastAsia="Noto Sans CJK JP" w:cs="Noto Sans CJK JP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rFonts w:ascii="Noto Sans CJK JP" w:hAnsi="Noto Sans CJK JP" w:eastAsia="Noto Sans CJK JP" w:cs="Noto Sans CJK JP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Noto Sans CJK JP" w:hAnsi="Noto Sans CJK JP" w:eastAsia="Noto Sans CJK JP" w:cs="Noto Sans CJK JP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Noto Sans CJK JP" w:hAnsi="Noto Sans CJK JP" w:eastAsia="Noto Sans CJK JP" w:cs="Noto Sans CJK JP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="Noto Sans CJK JP" w:hAnsi="Noto Sans CJK JP" w:eastAsia="Noto Sans CJK JP" w:cs="Noto Sans CJK JP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Noto Sans CJK JP" w:hAnsi="Noto Sans CJK JP" w:eastAsia="Noto Sans CJK JP" w:cs="Noto Sans CJK JP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Noto Sans CJK JP" w:hAnsi="Noto Sans CJK JP" w:eastAsia="Noto Sans CJK JP" w:cs="Noto Sans CJK JP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Noto Sans CJK JP" w:hAnsi="Noto Sans CJK JP" w:eastAsia="Noto Sans CJK JP" w:cs="Noto Sans CJK JP"/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rFonts w:ascii="Noto Sans CJK JP" w:hAnsi="Noto Sans CJK JP" w:eastAsia="Noto Sans CJK JP" w:cs="Noto Sans CJK JP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rFonts w:ascii="Noto Sans CJK JP" w:hAnsi="Noto Sans CJK JP" w:eastAsia="Noto Sans CJK JP" w:cs="Noto Sans CJK JP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rFonts w:ascii="Noto Sans CJK JP" w:hAnsi="Noto Sans CJK JP" w:eastAsia="Noto Sans CJK JP" w:cs="Noto Sans CJK JP"/>
    </w:r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Noto Sans CJK JP" w:hAnsi="Noto Sans CJK JP" w:eastAsia="Noto Sans CJK JP" w:cs="Noto Sans CJK JP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Noto Sans CJK JP" w:hAnsi="Noto Sans CJK JP" w:eastAsia="Noto Sans CJK JP" w:cs="Noto Sans CJK JP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rFonts w:ascii="Noto Sans CJK JP" w:hAnsi="Noto Sans CJK JP" w:eastAsia="Noto Sans CJK JP" w:cs="Noto Sans CJK JP"/>
    </w:r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Noto Sans CJK JP" w:hAnsi="Noto Sans CJK JP" w:eastAsia="Noto Sans CJK JP" w:cs="Noto Sans CJK JP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Noto Sans CJK JP" w:hAnsi="Noto Sans CJK JP" w:eastAsia="Noto Sans CJK JP" w:cs="Noto Sans CJK JP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rFonts w:ascii="Noto Sans CJK JP" w:hAnsi="Noto Sans CJK JP" w:eastAsia="Noto Sans CJK JP" w:cs="Noto Sans CJK JP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rFonts w:ascii="Noto Sans CJK JP" w:hAnsi="Noto Sans CJK JP" w:eastAsia="Noto Sans CJK JP" w:cs="Noto Sans CJK JP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rFonts w:ascii="Noto Sans CJK JP" w:hAnsi="Noto Sans CJK JP" w:eastAsia="Noto Sans CJK JP" w:cs="Noto Sans CJK JP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rFonts w:ascii="Noto Sans CJK JP" w:hAnsi="Noto Sans CJK JP" w:eastAsia="Noto Sans CJK JP" w:cs="Noto Sans CJK JP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Noto Sans CJK JP" w:hAnsi="Noto Sans CJK JP" w:eastAsia="Noto Sans CJK JP" w:cs="Noto Sans CJK JP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Noto Sans CJK JP" w:hAnsi="Noto Sans CJK JP" w:eastAsia="Noto Sans CJK JP" w:cs="Noto Sans CJK JP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rFonts w:ascii="Noto Sans CJK JP" w:hAnsi="Noto Sans CJK JP" w:eastAsia="Noto Sans CJK JP" w:cs="Noto Sans CJK JP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Noto Sans CJK JP" w:hAnsi="Noto Sans CJK JP" w:eastAsia="Noto Sans CJK JP" w:cs="Noto Sans CJK JP"/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 w:ascii="Noto Sans CJK JP" w:hAnsi="Noto Sans CJK JP" w:eastAsia="Noto Sans CJK JP" w:cs="Noto Sans CJK JP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 w:ascii="Noto Sans CJK JP" w:hAnsi="Noto Sans CJK JP" w:eastAsia="Noto Sans CJK JP" w:cs="Noto Sans CJK JP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 w:ascii="Noto Sans CJK JP" w:hAnsi="Noto Sans CJK JP" w:eastAsia="Noto Sans CJK JP" w:cs="Noto Sans CJK JP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 w:ascii="Noto Sans CJK JP" w:hAnsi="Noto Sans CJK JP" w:eastAsia="Noto Sans CJK JP" w:cs="Noto Sans CJK JP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 w:ascii="Noto Sans CJK JP" w:hAnsi="Noto Sans CJK JP" w:eastAsia="Noto Sans CJK JP" w:cs="Noto Sans CJK JP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 w:ascii="Noto Sans CJK JP" w:hAnsi="Noto Sans CJK JP" w:eastAsia="Noto Sans CJK JP" w:cs="Noto Sans CJK JP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Noto Sans CJK JP" w:hAnsi="Noto Sans CJK JP" w:eastAsia="Noto Sans CJK JP" w:cs="Noto Sans CJK JP"/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Noto Sans CJK JP" w:hAnsi="Noto Sans CJK JP" w:eastAsia="Noto Sans CJK JP" w:cs="Noto Sans CJK JP"/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rFonts w:ascii="Noto Sans CJK JP" w:hAnsi="Noto Sans CJK JP" w:eastAsia="Noto Sans CJK JP" w:cs="Noto Sans CJK JP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Noto Sans CJK JP" w:hAnsi="Noto Sans CJK JP" w:eastAsia="Noto Sans CJK JP" w:cs="Noto Sans CJK JP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Noto Sans CJK JP" w:hAnsi="Noto Sans CJK JP" w:eastAsia="Noto Sans CJK JP" w:cs="Noto Sans CJK JP"/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Noto Sans CJK JP" w:hAnsi="Noto Sans CJK JP" w:eastAsia="Noto Sans CJK JP" w:cs="Noto Sans CJK JP"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Noto Sans CJK JP" w:hAnsi="Noto Sans CJK JP" w:eastAsia="Noto Sans CJK JP" w:cs="Noto Sans CJK JP"/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Noto Sans CJK JP" w:hAnsi="Noto Sans CJK JP" w:eastAsia="Noto Sans CJK JP" w:cs="Noto Sans CJK JP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Noto Sans CJK JP" w:hAnsi="Noto Sans CJK JP" w:eastAsia="Noto Sans CJK JP" w:cs="Noto Sans CJK JP"/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Noto Sans CJK JP" w:hAnsi="Noto Sans CJK JP" w:eastAsia="Noto Sans CJK JP" w:cs="Noto Sans CJK JP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Noto Sans CJK JP" w:hAnsi="Noto Sans CJK JP" w:eastAsia="Noto Sans CJK JP" w:cs="Noto Sans CJK JP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rFonts w:ascii="Noto Sans CJK JP" w:hAnsi="Noto Sans CJK JP" w:eastAsia="Noto Sans CJK JP" w:cs="Noto Sans CJK 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rFonts w:ascii="Noto Sans CJK JP" w:hAnsi="Noto Sans CJK JP" w:eastAsia="Noto Sans CJK JP" w:cs="Noto Sans CJK JP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rFonts w:ascii="Noto Sans CJK JP" w:hAnsi="Noto Sans CJK JP" w:eastAsia="Noto Sans CJK JP" w:cs="Noto Sans CJK JP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rFonts w:ascii="Noto Sans CJK JP" w:hAnsi="Noto Sans CJK JP" w:eastAsia="Noto Sans CJK JP" w:cs="Noto Sans CJK JP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rFonts w:ascii="Noto Sans CJK JP" w:hAnsi="Noto Sans CJK JP" w:eastAsia="Noto Sans CJK JP" w:cs="Noto Sans CJK JP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rFonts w:ascii="Noto Sans CJK JP" w:hAnsi="Noto Sans CJK JP" w:eastAsia="Noto Sans CJK JP" w:cs="Noto Sans CJK JP"/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rFonts w:ascii="Noto Sans CJK JP" w:hAnsi="Noto Sans CJK JP" w:eastAsia="Noto Sans CJK JP" w:cs="Noto Sans CJK JP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rFonts w:ascii="Noto Sans CJK JP" w:hAnsi="Noto Sans CJK JP" w:eastAsia="Noto Sans CJK JP" w:cs="Noto Sans CJK JP"/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image" Target="media/image1.png"/><Relationship Id="rId13" Type="http://schemas.openxmlformats.org/officeDocument/2006/relationships/hyperlink" Target="https://www.corneritaliano.com/ja/2050/resources/" TargetMode="External"/><Relationship Id="rId14" Type="http://schemas.openxmlformats.org/officeDocument/2006/relationships/header" Target="header2.xml"/><Relationship Id="rId15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重要年表</dc:title>
  <dc:subject>『2050年 - AIと、私たちを人間たらしめるもの』公式補助資料</dc:subject>
  <dc:creator>Corner Italiano LLC</dc:creator>
  <cp:keywords>2050, 人工知能, 2050年テスト, 公式資料</cp:keywords>
  <dc:description>generated by python-docx</dc:description>
  <cp:lastModifiedBy>Corner Italiano LLC</cp:lastModifiedBy>
  <cp:revision>1</cp:revision>
  <dcterms:created xsi:type="dcterms:W3CDTF">2013-12-23T23:15:00Z</dcterms:created>
  <dcterms:modified xsi:type="dcterms:W3CDTF">2013-12-23T23:15:00Z</dcterms:modified>
  <cp:category/>
</cp:coreProperties>
</file>