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Corner Italianoの出版ロゴ"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Noto Sans CJK JP" w:hAnsi="Noto Sans CJK JP" w:eastAsia="Noto Sans CJK JP" w:cs="Noto Sans CJK JP"/>
          <w:b/>
          <w:color w:val="B54B2A"/>
          <w:sz w:val="17"/>
        </w:rPr>
        <w:t>CORNER ITALIANO  |  公式資料</w:t>
      </w:r>
    </w:p>
    <w:p>
      <w:pPr>
        <w:pStyle w:val="Title"/>
        <w:jc w:val="center"/>
      </w:pPr>
      <w:r>
        <w:rPr>
          <w:rFonts w:ascii="Noto Sans CJK JP" w:hAnsi="Noto Sans CJK JP" w:eastAsia="Noto Sans CJK JP" w:cs="Noto Sans CJK JP"/>
          <w:b/>
          <w:color w:val="123044"/>
          <w:sz w:val="50"/>
        </w:rPr>
        <w:t>検索可能な文献資料一覧</w:t>
      </w:r>
    </w:p>
    <w:p>
      <w:pPr>
        <w:pStyle w:val="Subtitle"/>
        <w:jc w:val="center"/>
      </w:pPr>
      <w:r>
        <w:rPr>
          <w:rFonts w:ascii="Noto Sans CJK JP" w:hAnsi="Noto Sans CJK JP" w:eastAsia="Noto Sans CJK JP" w:cs="Noto Sans CJK JP"/>
          <w:color w:val="5D6870"/>
          <w:sz w:val="24"/>
        </w:rPr>
        <w:t>安定コードと有効なリンクを備えた資料</w:t>
      </w:r>
    </w:p>
    <w:p>
      <w:pPr>
        <w:spacing w:before="440"/>
        <w:jc w:val="center"/>
      </w:pPr>
      <w:r>
        <w:rPr>
          <w:rFonts w:ascii="Noto Sans CJK JP" w:hAnsi="Noto Sans CJK JP" w:eastAsia="Noto Sans CJK JP" w:cs="Noto Sans CJK JP"/>
          <w:b/>
          <w:color w:val="B54B2A"/>
          <w:sz w:val="17"/>
        </w:rPr>
        <w:t>日本語版アーカイブ</w:t>
      </w:r>
    </w:p>
    <w:p>
      <w:pPr>
        <w:jc w:val="center"/>
      </w:pPr>
      <w:r>
        <w:rPr>
          <w:rFonts w:ascii="Noto Sans CJK JP" w:hAnsi="Noto Sans CJK JP" w:eastAsia="Noto Sans CJK JP" w:cs="Noto Sans CJK JP"/>
          <w:color w:val="234C61"/>
          <w:sz w:val="18"/>
        </w:rPr>
        <w:t>日本語版アーカイブ - 2026年7月 - A4版</w:t>
      </w:r>
    </w:p>
    <w:p>
      <w:pPr>
        <w:spacing w:before="360"/>
        <w:jc w:val="center"/>
      </w:pPr>
      <w:hyperlink r:id="rId13">
        <w:r>
          <w:rPr>
            <w:rFonts w:ascii="Noto Sans CJK JP" w:hAnsi="Noto Sans CJK JP" w:eastAsia="Noto Sans CJK JP" w:cs="Noto Sans CJK JP"/>
            <w:color w:val="234C61"/>
            <w:u w:val="single"/>
            <w:sz w:val="18"/>
          </w:rPr>
          <w:t>https://www.corneritaliano.com/ja/2050/resources/</w:t>
        </w:r>
      </w:hyperlink>
    </w:p>
    <w:p>
      <w:r>
        <w:br w:type="page"/>
      </w: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rPr>
        <w:tc>
          <w:tcPr>
            <w:tcW w:type="dxa" w:w="9890"/>
            <w:shd w:fill="F7E7E0"/>
            <w:tcMar>
              <w:top w:w="120" w:type="dxa"/>
              <w:start w:w="150" w:type="dxa"/>
              <w:bottom w:w="120" w:type="dxa"/>
              <w:end w:w="150" w:type="dxa"/>
            </w:tcMar>
          </w:tcPr>
          <w:p>
            <w:pPr>
              <w:spacing w:after="40"/>
            </w:pPr>
            <w:r>
              <w:rPr>
                <w:rFonts w:ascii="Noto Sans CJK JP" w:hAnsi="Noto Sans CJK JP" w:eastAsia="Noto Sans CJK JP" w:cs="Noto Sans CJK JP"/>
                <w:b/>
                <w:color w:val="B54B2A"/>
                <w:sz w:val="17"/>
              </w:rPr>
              <w:t xml:space="preserve">基準  </w:t>
            </w:r>
            <w:r>
              <w:rPr>
                <w:rFonts w:ascii="Noto Sans CJK JP" w:hAnsi="Noto Sans CJK JP" w:eastAsia="Noto Sans CJK JP" w:cs="Noto Sans CJK JP"/>
                <w:color w:val="1E2528"/>
                <w:sz w:val="18"/>
              </w:rPr>
              <w:t>本書の事実および規制に関する記述を確認するために用いた79件の資料と、オンライン年表のインフラ史を支える4件の追加資料を収録します。一次資料、標準、法令、提案、ガイダンス、報告書、論文、プレプリント、企業資料は区別して示します。</w:t>
            </w:r>
          </w:p>
        </w:tc>
      </w:tr>
    </w:tbl>
    <w:p>
      <w:pPr>
        <w:spacing w:after="0"/>
      </w:pPr>
    </w:p>
    <w:p>
      <w:pPr>
        <w:pStyle w:val="Heading1"/>
      </w:pPr>
      <w:r>
        <w:t>人工知能とネットワークの歴史</w:t>
      </w:r>
    </w:p>
    <w:p>
      <w:pPr>
        <w:spacing w:after="60"/>
        <w:ind w:left="173" w:hanging="173"/>
      </w:pPr>
      <w:r>
        <w:rPr>
          <w:rFonts w:ascii="Noto Sans CJK JP" w:hAnsi="Noto Sans CJK JP" w:eastAsia="Noto Sans CJK JP" w:cs="Noto Sans CJK JP"/>
          <w:b/>
          <w:color w:val="B54B2A"/>
          <w:sz w:val="15"/>
        </w:rPr>
        <w:t xml:space="preserve">[SRC-TURING-1950] </w:t>
      </w:r>
      <w:r>
        <w:rPr>
          <w:rFonts w:ascii="Noto Sans CJK JP" w:hAnsi="Noto Sans CJK JP" w:eastAsia="Noto Sans CJK JP" w:cs="Noto Sans CJK JP"/>
          <w:color w:val="1E2528"/>
          <w:sz w:val="16"/>
        </w:rPr>
        <w:t>A. M. Turing, Computing Machinery and Intelligence. Oxford University Press / Mind. 1950. 一次資料。</w:t>
      </w:r>
      <w:hyperlink r:id="rId14">
        <w:r>
          <w:rPr>
            <w:rFonts w:ascii="Noto Sans CJK JP" w:hAnsi="Noto Sans CJK JP" w:eastAsia="Noto Sans CJK JP" w:cs="Noto Sans CJK JP"/>
            <w:color w:val="234C61"/>
            <w:u w:val="single"/>
            <w:sz w:val="15"/>
          </w:rPr>
          <w:t>https://doi.org/10.1093/mind/LIX.236.433</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[SRC-DARTMOUTH-1955] </w:t>
      </w:r>
      <w:r>
        <w:rPr>
          <w:rFonts w:ascii="Noto Sans CJK JP" w:hAnsi="Noto Sans CJK JP" w:eastAsia="Noto Sans CJK JP" w:cs="Noto Sans CJK JP"/>
          <w:color w:val="1E2528"/>
          <w:sz w:val="16"/>
        </w:rPr>
        <w:t>John McCarthy, Marvin L. Minsky, Nathaniel Rochester, Claude E. Shannon, A Proposal for the Dartmouth Summer Research Project on Artificial Intelligence. Dartmouth College archive. 1955. 一次資料／公式アーカイブ。</w:t>
      </w:r>
      <w:hyperlink r:id="rId15">
        <w:r>
          <w:rPr>
            <w:rFonts w:ascii="Noto Sans CJK JP" w:hAnsi="Noto Sans CJK JP" w:eastAsia="Noto Sans CJK JP" w:cs="Noto Sans CJK JP"/>
            <w:color w:val="234C61"/>
            <w:u w:val="single"/>
            <w:sz w:val="15"/>
          </w:rPr>
          <w:t>https://jmc.stanford.edu/articles/dartmouth/dartmouth.pdf</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[SRC-ROSENBLATT-1958] </w:t>
      </w:r>
      <w:r>
        <w:rPr>
          <w:rFonts w:ascii="Noto Sans CJK JP" w:hAnsi="Noto Sans CJK JP" w:eastAsia="Noto Sans CJK JP" w:cs="Noto Sans CJK JP"/>
          <w:color w:val="1E2528"/>
          <w:sz w:val="16"/>
        </w:rPr>
        <w:t>Frank Rosenblatt, The Perceptron: A Probabilistic Model for Information Storage and Organization in the Brain. Psychological Review. 1958. 一次資料。</w:t>
      </w:r>
      <w:hyperlink r:id="rId16">
        <w:r>
          <w:rPr>
            <w:rFonts w:ascii="Noto Sans CJK JP" w:hAnsi="Noto Sans CJK JP" w:eastAsia="Noto Sans CJK JP" w:cs="Noto Sans CJK JP"/>
            <w:color w:val="234C61"/>
            <w:u w:val="single"/>
            <w:sz w:val="15"/>
          </w:rPr>
          <w:t>https://doi.org/10.1037/h0042519</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[SRC-MINSKY-PAPERT-1969] </w:t>
      </w:r>
      <w:r>
        <w:rPr>
          <w:rFonts w:ascii="Noto Sans CJK JP" w:hAnsi="Noto Sans CJK JP" w:eastAsia="Noto Sans CJK JP" w:cs="Noto Sans CJK JP"/>
          <w:color w:val="1E2528"/>
          <w:sz w:val="16"/>
        </w:rPr>
        <w:t>Marvin Minsky、Seymour Papert, Perceptrons: An Introduction to Computational Geometry. MIT Press, 1969；増補版、1987。一次資料。出版社のページは増補版を案内しています。</w:t>
      </w:r>
      <w:hyperlink r:id="rId17">
        <w:r>
          <w:rPr>
            <w:rFonts w:ascii="Noto Sans CJK JP" w:hAnsi="Noto Sans CJK JP" w:eastAsia="Noto Sans CJK JP" w:cs="Noto Sans CJK JP"/>
            <w:color w:val="234C61"/>
            <w:u w:val="single"/>
            <w:sz w:val="15"/>
          </w:rPr>
          <w:t>https://mitpress.mit.edu/9780262631112/perceptrons/</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[SRC-RHW-1986] </w:t>
      </w:r>
      <w:r>
        <w:rPr>
          <w:rFonts w:ascii="Noto Sans CJK JP" w:hAnsi="Noto Sans CJK JP" w:eastAsia="Noto Sans CJK JP" w:cs="Noto Sans CJK JP"/>
          <w:color w:val="1E2528"/>
          <w:sz w:val="16"/>
        </w:rPr>
        <w:t>David E. Rumelhart, Geoffrey E. Hinton, Ronald J. Williams, Learning representations by back-propagating errors. Nature. 1986. 一次資料。</w:t>
      </w:r>
      <w:hyperlink r:id="rId18">
        <w:r>
          <w:rPr>
            <w:rFonts w:ascii="Noto Sans CJK JP" w:hAnsi="Noto Sans CJK JP" w:eastAsia="Noto Sans CJK JP" w:cs="Noto Sans CJK JP"/>
            <w:color w:val="234C61"/>
            <w:u w:val="single"/>
            <w:sz w:val="15"/>
          </w:rPr>
          <w:t>https://doi.org/10.1038/323533a0</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[SRC-IBM-DEEPBLUE] </w:t>
      </w:r>
      <w:r>
        <w:rPr>
          <w:rFonts w:ascii="Noto Sans CJK JP" w:hAnsi="Noto Sans CJK JP" w:eastAsia="Noto Sans CJK JP" w:cs="Noto Sans CJK JP"/>
          <w:color w:val="1E2528"/>
          <w:sz w:val="16"/>
        </w:rPr>
        <w:t>IBM, Deep Blue. 1997. 企業の公式アーカイブ。参照年：2026。</w:t>
      </w:r>
      <w:hyperlink r:id="rId19">
        <w:r>
          <w:rPr>
            <w:rFonts w:ascii="Noto Sans CJK JP" w:hAnsi="Noto Sans CJK JP" w:eastAsia="Noto Sans CJK JP" w:cs="Noto Sans CJK JP"/>
            <w:color w:val="234C61"/>
            <w:u w:val="single"/>
            <w:sz w:val="15"/>
          </w:rPr>
          <w:t>https://www.ibm.com/history/deep-blue</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[SRC-ALEXNET-2012] </w:t>
      </w:r>
      <w:r>
        <w:rPr>
          <w:rFonts w:ascii="Noto Sans CJK JP" w:hAnsi="Noto Sans CJK JP" w:eastAsia="Noto Sans CJK JP" w:cs="Noto Sans CJK JP"/>
          <w:color w:val="1E2528"/>
          <w:sz w:val="16"/>
        </w:rPr>
        <w:t>Alex Krizhevsky, Ilya Sutskever, Geoffrey E. Hinton, ImageNet Classification with Deep Convolutional Neural Networks. NeurIPS. 2012. 一次資料。</w:t>
      </w:r>
      <w:hyperlink r:id="rId20">
        <w:r>
          <w:rPr>
            <w:rFonts w:ascii="Noto Sans CJK JP" w:hAnsi="Noto Sans CJK JP" w:eastAsia="Noto Sans CJK JP" w:cs="Noto Sans CJK JP"/>
            <w:color w:val="234C61"/>
            <w:u w:val="single"/>
            <w:sz w:val="15"/>
          </w:rPr>
          <w:t>https://papers.nips.cc/paper/4824-imagenet-classification-with-deep-convolutional-neural-networks</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[SRC-TRANSFORMER-2017] </w:t>
      </w:r>
      <w:r>
        <w:rPr>
          <w:rFonts w:ascii="Noto Sans CJK JP" w:hAnsi="Noto Sans CJK JP" w:eastAsia="Noto Sans CJK JP" w:cs="Noto Sans CJK JP"/>
          <w:color w:val="1E2528"/>
          <w:sz w:val="16"/>
        </w:rPr>
        <w:t>Ashish Vaswani et al., Attention Is All You Need. NeurIPS / arXiv. 2017. 一次資料。</w:t>
      </w:r>
      <w:hyperlink r:id="rId21">
        <w:r>
          <w:rPr>
            <w:rFonts w:ascii="Noto Sans CJK JP" w:hAnsi="Noto Sans CJK JP" w:eastAsia="Noto Sans CJK JP" w:cs="Noto Sans CJK JP"/>
            <w:color w:val="234C61"/>
            <w:u w:val="single"/>
            <w:sz w:val="15"/>
          </w:rPr>
          <w:t>https://arxiv.org/abs/1706.03762</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[SRC-ELIZA-1966] </w:t>
      </w:r>
      <w:r>
        <w:rPr>
          <w:rFonts w:ascii="Noto Sans CJK JP" w:hAnsi="Noto Sans CJK JP" w:eastAsia="Noto Sans CJK JP" w:cs="Noto Sans CJK JP"/>
          <w:color w:val="1E2528"/>
          <w:sz w:val="16"/>
        </w:rPr>
        <w:t>Joseph Weizenbaum, ELIZA—A Computer Program for the Study of Natural Language Communication Between Man and Machine. Communications of the ACM. 1966. 一次資料。</w:t>
      </w:r>
      <w:hyperlink r:id="rId22">
        <w:r>
          <w:rPr>
            <w:rFonts w:ascii="Noto Sans CJK JP" w:hAnsi="Noto Sans CJK JP" w:eastAsia="Noto Sans CJK JP" w:cs="Noto Sans CJK JP"/>
            <w:color w:val="234C61"/>
            <w:u w:val="single"/>
            <w:sz w:val="15"/>
          </w:rPr>
          <w:t>https://doi.org/10.1145/365153.365168</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[SRC-OPENAI-CHATGPT] </w:t>
      </w:r>
      <w:r>
        <w:rPr>
          <w:rFonts w:ascii="Noto Sans CJK JP" w:hAnsi="Noto Sans CJK JP" w:eastAsia="Noto Sans CJK JP" w:cs="Noto Sans CJK JP"/>
          <w:color w:val="1E2528"/>
          <w:sz w:val="16"/>
        </w:rPr>
        <w:t>OpenAI, Introducing ChatGPT. 2022-11-30. 企業による公式発表。</w:t>
      </w:r>
      <w:hyperlink r:id="rId23">
        <w:r>
          <w:rPr>
            <w:rFonts w:ascii="Noto Sans CJK JP" w:hAnsi="Noto Sans CJK JP" w:eastAsia="Noto Sans CJK JP" w:cs="Noto Sans CJK JP"/>
            <w:color w:val="234C61"/>
            <w:u w:val="single"/>
            <w:sz w:val="15"/>
          </w:rPr>
          <w:t>https://openai.com/index/chatgpt/</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[SRC-DARPA-ARPANET-1969] </w:t>
      </w:r>
      <w:r>
        <w:rPr>
          <w:rFonts w:ascii="Noto Sans CJK JP" w:hAnsi="Noto Sans CJK JP" w:eastAsia="Noto Sans CJK JP" w:cs="Noto Sans CJK JP"/>
          <w:color w:val="1E2528"/>
          <w:sz w:val="16"/>
        </w:rPr>
        <w:t>DARPA, ARPANET. 1969. 公式機関アーカイブ。参照年：2026。</w:t>
      </w:r>
      <w:hyperlink r:id="rId24">
        <w:r>
          <w:rPr>
            <w:rFonts w:ascii="Noto Sans CJK JP" w:hAnsi="Noto Sans CJK JP" w:eastAsia="Noto Sans CJK JP" w:cs="Noto Sans CJK JP"/>
            <w:color w:val="234C61"/>
            <w:u w:val="single"/>
            <w:sz w:val="15"/>
          </w:rPr>
          <w:t>https://www.darpa.mil/news/features/arpanet</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[SRC-ISOC-TCPIP-1983] </w:t>
      </w:r>
      <w:r>
        <w:rPr>
          <w:rFonts w:ascii="Noto Sans CJK JP" w:hAnsi="Noto Sans CJK JP" w:eastAsia="Noto Sans CJK JP" w:cs="Noto Sans CJK JP"/>
          <w:color w:val="1E2528"/>
          <w:sz w:val="16"/>
        </w:rPr>
        <w:t>Internet Society, New Year's Day Marks 30th Anniversary of Major Milestone for Global Internet. 2013-01-01. 機関資料。</w:t>
      </w:r>
      <w:hyperlink r:id="rId25">
        <w:r>
          <w:rPr>
            <w:rFonts w:ascii="Noto Sans CJK JP" w:hAnsi="Noto Sans CJK JP" w:eastAsia="Noto Sans CJK JP" w:cs="Noto Sans CJK JP"/>
            <w:color w:val="234C61"/>
            <w:u w:val="single"/>
            <w:sz w:val="15"/>
          </w:rPr>
          <w:t>https://www.internetsociety.org/news/press-releases/2013/new-years-day-marks-30th-anniversary-of-major-milestone-for-global-internet/</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[SRC-CERN-WEB-HISTORY] </w:t>
      </w:r>
      <w:r>
        <w:rPr>
          <w:rFonts w:ascii="Noto Sans CJK JP" w:hAnsi="Noto Sans CJK JP" w:eastAsia="Noto Sans CJK JP" w:cs="Noto Sans CJK JP"/>
          <w:color w:val="1E2528"/>
          <w:sz w:val="16"/>
        </w:rPr>
        <w:t>CERN, A short history of the Web. 公式機関アーカイブ。参照年：2026。</w:t>
      </w:r>
      <w:hyperlink r:id="rId26">
        <w:r>
          <w:rPr>
            <w:rFonts w:ascii="Noto Sans CJK JP" w:hAnsi="Noto Sans CJK JP" w:eastAsia="Noto Sans CJK JP" w:cs="Noto Sans CJK JP"/>
            <w:color w:val="234C61"/>
            <w:u w:val="single"/>
            <w:sz w:val="15"/>
          </w:rPr>
          <w:t>https://home.cern/science/computing/the-birth-of-the-web/short-history-web/</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[SRC-CERN-WEB-1991] </w:t>
      </w:r>
      <w:r>
        <w:rPr>
          <w:rFonts w:ascii="Noto Sans CJK JP" w:hAnsi="Noto Sans CJK JP" w:eastAsia="Noto Sans CJK JP" w:cs="Noto Sans CJK JP"/>
          <w:color w:val="1E2528"/>
          <w:sz w:val="16"/>
        </w:rPr>
        <w:t>CERN, The open internet and the web. 2013-04-30. 公式資料。</w:t>
      </w:r>
      <w:hyperlink r:id="rId27">
        <w:r>
          <w:rPr>
            <w:rFonts w:ascii="Noto Sans CJK JP" w:hAnsi="Noto Sans CJK JP" w:eastAsia="Noto Sans CJK JP" w:cs="Noto Sans CJK JP"/>
            <w:color w:val="234C61"/>
            <w:u w:val="single"/>
            <w:sz w:val="15"/>
          </w:rPr>
          <w:t>https://home.cern/open-internet-and-web/</w:t>
        </w:r>
      </w:hyperlink>
      <w:r>
        <w:rPr>
          <w:rFonts w:ascii="Noto Sans CJK JP" w:hAnsi="Noto Sans CJK JP" w:eastAsia="Noto Sans CJK JP" w:cs="Noto Sans CJK JP"/>
          <w:color w:val="1E2528"/>
          <w:sz w:val="16"/>
        </w:rPr>
        <w:t>.</w:t>
      </w:r>
    </w:p>
    <w:p>
      <w:pPr>
        <w:pStyle w:val="Heading1"/>
      </w:pPr>
      <w:r>
        <w:t>デジタルアイデンティティ、クレデンシャル、標準</w:t>
      </w:r>
    </w:p>
    <w:p>
      <w:pPr>
        <w:spacing w:after="60"/>
        <w:ind w:left="173" w:hanging="173"/>
      </w:pPr>
      <w:r>
        <w:rPr>
          <w:rFonts w:ascii="Noto Sans CJK JP" w:hAnsi="Noto Sans CJK JP" w:eastAsia="Noto Sans CJK JP" w:cs="Noto Sans CJK JP"/>
          <w:b/>
          <w:color w:val="B54B2A"/>
          <w:sz w:val="15"/>
        </w:rPr>
        <w:t xml:space="preserve">[SRC-W3C-VC20] </w:t>
      </w:r>
      <w:r>
        <w:rPr>
          <w:rFonts w:ascii="Noto Sans CJK JP" w:hAnsi="Noto Sans CJK JP" w:eastAsia="Noto Sans CJK JP" w:cs="Noto Sans CJK JP"/>
          <w:color w:val="1E2528"/>
          <w:sz w:val="16"/>
        </w:rPr>
        <w:t xml:space="preserve">W3C Verifiable Credentials Working Group, Verifiable Credentials Data Model v2.0. 2025-05-15. W3C Recommendation. </w:t>
      </w:r>
      <w:hyperlink r:id="rId28">
        <w:r>
          <w:rPr>
            <w:rFonts w:ascii="Noto Sans CJK JP" w:hAnsi="Noto Sans CJK JP" w:eastAsia="Noto Sans CJK JP" w:cs="Noto Sans CJK JP"/>
            <w:color w:val="234C61"/>
            <w:u w:val="single"/>
            <w:sz w:val="15"/>
          </w:rPr>
          <w:t>https://www.w3.org/TR/vc-data-model-2.0/</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[SRC-W3C-DI] </w:t>
      </w:r>
      <w:r>
        <w:rPr>
          <w:rFonts w:ascii="Noto Sans CJK JP" w:hAnsi="Noto Sans CJK JP" w:eastAsia="Noto Sans CJK JP" w:cs="Noto Sans CJK JP"/>
          <w:color w:val="1E2528"/>
          <w:sz w:val="16"/>
        </w:rPr>
        <w:t xml:space="preserve">W3C Verifiable Credentials Working Group, Verifiable Credential Data Integrity 1.0. 2025-05-15. W3C Recommendation. </w:t>
      </w:r>
      <w:hyperlink r:id="rId29">
        <w:r>
          <w:rPr>
            <w:rFonts w:ascii="Noto Sans CJK JP" w:hAnsi="Noto Sans CJK JP" w:eastAsia="Noto Sans CJK JP" w:cs="Noto Sans CJK JP"/>
            <w:color w:val="234C61"/>
            <w:u w:val="single"/>
            <w:sz w:val="15"/>
          </w:rPr>
          <w:t>https://www.w3.org/TR/vc-data-integrity/</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[SRC-W3C-JOSE] </w:t>
      </w:r>
      <w:r>
        <w:rPr>
          <w:rFonts w:ascii="Noto Sans CJK JP" w:hAnsi="Noto Sans CJK JP" w:eastAsia="Noto Sans CJK JP" w:cs="Noto Sans CJK JP"/>
          <w:color w:val="1E2528"/>
          <w:sz w:val="16"/>
        </w:rPr>
        <w:t xml:space="preserve">W3C Verifiable Credentials Working Group, Securing Verifiable Credentials using JOSE and COSE. 2025-05-15. W3C Recommendation. </w:t>
      </w:r>
      <w:hyperlink r:id="rId30">
        <w:r>
          <w:rPr>
            <w:rFonts w:ascii="Noto Sans CJK JP" w:hAnsi="Noto Sans CJK JP" w:eastAsia="Noto Sans CJK JP" w:cs="Noto Sans CJK JP"/>
            <w:color w:val="234C61"/>
            <w:u w:val="single"/>
            <w:sz w:val="15"/>
          </w:rPr>
          <w:t>https://www.w3.org/TR/vc-jose-cose/</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[SRC-OID4VCI] </w:t>
      </w:r>
      <w:r>
        <w:rPr>
          <w:rFonts w:ascii="Noto Sans CJK JP" w:hAnsi="Noto Sans CJK JP" w:eastAsia="Noto Sans CJK JP" w:cs="Noto Sans CJK JP"/>
          <w:color w:val="1E2528"/>
          <w:sz w:val="16"/>
        </w:rPr>
        <w:t xml:space="preserve">OpenID Foundation, OpenID for Verifiable Credential Issuance 1.0. 2025-09-16. Final Specification. </w:t>
      </w:r>
      <w:hyperlink r:id="rId31">
        <w:r>
          <w:rPr>
            <w:rFonts w:ascii="Noto Sans CJK JP" w:hAnsi="Noto Sans CJK JP" w:eastAsia="Noto Sans CJK JP" w:cs="Noto Sans CJK JP"/>
            <w:color w:val="234C61"/>
            <w:u w:val="single"/>
            <w:sz w:val="15"/>
          </w:rPr>
          <w:t>https://openid.net/specs/openid-4-verifiable-credential-issuance-1_0.html</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[SRC-OID4VP] </w:t>
      </w:r>
      <w:r>
        <w:rPr>
          <w:rFonts w:ascii="Noto Sans CJK JP" w:hAnsi="Noto Sans CJK JP" w:eastAsia="Noto Sans CJK JP" w:cs="Noto Sans CJK JP"/>
          <w:color w:val="1E2528"/>
          <w:sz w:val="16"/>
        </w:rPr>
        <w:t xml:space="preserve">OpenID Foundation, OpenID for Verifiable Presentations 1.0. 2025-07-09. Final Specification. </w:t>
      </w:r>
      <w:hyperlink r:id="rId32">
        <w:r>
          <w:rPr>
            <w:rFonts w:ascii="Noto Sans CJK JP" w:hAnsi="Noto Sans CJK JP" w:eastAsia="Noto Sans CJK JP" w:cs="Noto Sans CJK JP"/>
            <w:color w:val="234C61"/>
            <w:u w:val="single"/>
            <w:sz w:val="15"/>
          </w:rPr>
          <w:t>https://openid.net/specs/openid-4-verifiable-presentations-1_0.html</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[SRC-NIST-ID4] </w:t>
      </w:r>
      <w:r>
        <w:rPr>
          <w:rFonts w:ascii="Noto Sans CJK JP" w:hAnsi="Noto Sans CJK JP" w:eastAsia="Noto Sans CJK JP" w:cs="Noto Sans CJK JP"/>
          <w:color w:val="1E2528"/>
          <w:sz w:val="16"/>
        </w:rPr>
        <w:t>National Institute of Standards and Technology, Digital Identity Guidelines, NIST SP 800-63-4. 2025-07-31. 最終技術標準。</w:t>
      </w:r>
      <w:hyperlink r:id="rId33">
        <w:r>
          <w:rPr>
            <w:rFonts w:ascii="Noto Sans CJK JP" w:hAnsi="Noto Sans CJK JP" w:eastAsia="Noto Sans CJK JP" w:cs="Noto Sans CJK JP"/>
            <w:color w:val="234C61"/>
            <w:u w:val="single"/>
            <w:sz w:val="15"/>
          </w:rPr>
          <w:t>https://doi.org/10.6028/NIST.SP.800-63-4</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[SRC-NIST-8202] </w:t>
      </w:r>
      <w:r>
        <w:rPr>
          <w:rFonts w:ascii="Noto Sans CJK JP" w:hAnsi="Noto Sans CJK JP" w:eastAsia="Noto Sans CJK JP" w:cs="Noto Sans CJK JP"/>
          <w:color w:val="1E2528"/>
          <w:sz w:val="16"/>
        </w:rPr>
        <w:t>Dylan Yaga et al., Blockchain Technology Overview, NISTIR 8202. 2018-10-03. 公式技術報告書。</w:t>
      </w:r>
      <w:hyperlink r:id="rId34">
        <w:r>
          <w:rPr>
            <w:rFonts w:ascii="Noto Sans CJK JP" w:hAnsi="Noto Sans CJK JP" w:eastAsia="Noto Sans CJK JP" w:cs="Noto Sans CJK JP"/>
            <w:color w:val="234C61"/>
            <w:u w:val="single"/>
            <w:sz w:val="15"/>
          </w:rPr>
          <w:t>https://doi.org/10.6028/NIST.IR.8202</w:t>
        </w:r>
      </w:hyperlink>
      <w:r>
        <w:rPr>
          <w:rFonts w:ascii="Noto Sans CJK JP" w:hAnsi="Noto Sans CJK JP" w:eastAsia="Noto Sans CJK JP" w:cs="Noto Sans CJK JP"/>
          <w:color w:val="1E2528"/>
          <w:sz w:val="16"/>
        </w:rPr>
        <w:t>.</w:t>
      </w:r>
    </w:p>
    <w:p>
      <w:pPr>
        <w:pStyle w:val="Heading1"/>
      </w:pPr>
      <w:r>
        <w:t>保健医療、社会、教育、労働、開発</w:t>
      </w:r>
    </w:p>
    <w:p>
      <w:pPr>
        <w:spacing w:after="60"/>
        <w:ind w:left="173" w:hanging="173"/>
      </w:pPr>
      <w:r>
        <w:rPr>
          <w:rFonts w:ascii="Noto Sans CJK JP" w:hAnsi="Noto Sans CJK JP" w:eastAsia="Noto Sans CJK JP" w:cs="Noto Sans CJK JP"/>
          <w:b/>
          <w:color w:val="B54B2A"/>
          <w:sz w:val="15"/>
        </w:rPr>
        <w:t xml:space="preserve">[SRC-WHO-AI-HEALTH21] </w:t>
      </w:r>
      <w:r>
        <w:rPr>
          <w:rFonts w:ascii="Noto Sans CJK JP" w:hAnsi="Noto Sans CJK JP" w:eastAsia="Noto Sans CJK JP" w:cs="Noto Sans CJK JP"/>
          <w:color w:val="1E2528"/>
          <w:sz w:val="16"/>
        </w:rPr>
        <w:t>World Health Organization, Ethics and governance of artificial intelligence for health. 2021-06-28. 機関ガイドライン。</w:t>
      </w:r>
      <w:hyperlink r:id="rId35">
        <w:r>
          <w:rPr>
            <w:rFonts w:ascii="Noto Sans CJK JP" w:hAnsi="Noto Sans CJK JP" w:eastAsia="Noto Sans CJK JP" w:cs="Noto Sans CJK JP"/>
            <w:color w:val="234C61"/>
            <w:u w:val="single"/>
            <w:sz w:val="15"/>
          </w:rPr>
          <w:t>https://www.who.int/publications/i/item/9789240029200</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[SRC-WHO-AI-REG23] </w:t>
      </w:r>
      <w:r>
        <w:rPr>
          <w:rFonts w:ascii="Noto Sans CJK JP" w:hAnsi="Noto Sans CJK JP" w:eastAsia="Noto Sans CJK JP" w:cs="Noto Sans CJK JP"/>
          <w:color w:val="1E2528"/>
          <w:sz w:val="16"/>
        </w:rPr>
        <w:t>World Health Organization, Regulatory considerations on artificial intelligence for health. 2023-10-19. 規制上の検討事項をまとめた機関文書であり、規制そのものではありません。</w:t>
      </w:r>
      <w:hyperlink r:id="rId36">
        <w:r>
          <w:rPr>
            <w:rFonts w:ascii="Noto Sans CJK JP" w:hAnsi="Noto Sans CJK JP" w:eastAsia="Noto Sans CJK JP" w:cs="Noto Sans CJK JP"/>
            <w:color w:val="234C61"/>
            <w:u w:val="single"/>
            <w:sz w:val="15"/>
          </w:rPr>
          <w:t>https://www.who.int/publications/i/item/9789240078871</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[SRC-WHO-LMM24-25] </w:t>
      </w:r>
      <w:r>
        <w:rPr>
          <w:rFonts w:ascii="Noto Sans CJK JP" w:hAnsi="Noto Sans CJK JP" w:eastAsia="Noto Sans CJK JP" w:cs="Noto Sans CJK JP"/>
          <w:color w:val="1E2528"/>
          <w:sz w:val="16"/>
        </w:rPr>
        <w:t>World Health Organization, Ethics and governance of artificial intelligence for health: Guidance on large multi-modal models. WHOの版および書誌情報：2024；現在の機関ページの日付：2025-03-25。</w:t>
      </w:r>
      <w:hyperlink r:id="rId37">
        <w:r>
          <w:rPr>
            <w:rFonts w:ascii="Noto Sans CJK JP" w:hAnsi="Noto Sans CJK JP" w:eastAsia="Noto Sans CJK JP" w:cs="Noto Sans CJK JP"/>
            <w:color w:val="234C61"/>
            <w:u w:val="single"/>
            <w:sz w:val="15"/>
          </w:rPr>
          <w:t>https://www.who.int/publications/i/item/9789240084759</w:t>
        </w:r>
      </w:hyperlink>
      <w:r>
        <w:rPr>
          <w:rFonts w:ascii="Noto Sans CJK JP" w:hAnsi="Noto Sans CJK JP" w:eastAsia="Noto Sans CJK JP" w:cs="Noto Sans CJK JP"/>
          <w:color w:val="1E2528"/>
          <w:sz w:val="16"/>
        </w:rPr>
        <w:t>;</w:t>
      </w:r>
      <w:r>
        <w:rPr>
          <w:rFonts w:ascii="Noto Sans CJK JP" w:hAnsi="Noto Sans CJK JP" w:eastAsia="Noto Sans CJK JP" w:cs="Noto Sans CJK JP"/>
          <w:color w:val="1E2528"/>
          <w:sz w:val="16"/>
        </w:rPr>
        <w:t xml:space="preserve"> </w:t>
      </w:r>
      <w:hyperlink r:id="rId38">
        <w:r>
          <w:rPr>
            <w:rFonts w:ascii="Noto Sans CJK JP" w:hAnsi="Noto Sans CJK JP" w:eastAsia="Noto Sans CJK JP" w:cs="Noto Sans CJK JP"/>
            <w:color w:val="234C61"/>
            <w:u w:val="single"/>
            <w:sz w:val="15"/>
          </w:rPr>
          <w:t>https://www.who.int/publications/b/70584</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[SRC-WHO-AI-EU26] </w:t>
      </w:r>
      <w:r>
        <w:rPr>
          <w:rFonts w:ascii="Noto Sans CJK JP" w:hAnsi="Noto Sans CJK JP" w:eastAsia="Noto Sans CJK JP" w:cs="Noto Sans CJK JP"/>
          <w:color w:val="1E2528"/>
          <w:sz w:val="16"/>
        </w:rPr>
        <w:t xml:space="preserve">WHO Regional Office for Europe, Artificial intelligence is reshaping health systems: state of readiness across the European Union. 2026-04-20. EU加盟27か国の保健医療制度の準備状況を扱う機関報告書であり、臨床的有効性を示す根拠ではありません。WHO/EURO:2026-12707-52481-81471. </w:t>
      </w:r>
      <w:hyperlink r:id="rId39">
        <w:r>
          <w:rPr>
            <w:rFonts w:ascii="Noto Sans CJK JP" w:hAnsi="Noto Sans CJK JP" w:eastAsia="Noto Sans CJK JP" w:cs="Noto Sans CJK JP"/>
            <w:color w:val="234C61"/>
            <w:u w:val="single"/>
            <w:sz w:val="15"/>
          </w:rPr>
          <w:t>https://www.who.int/europe/publications/i/item/WHO-EURO-2026-12707-52481-81471</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[SRC-WHO-AI-POLICY26] </w:t>
      </w:r>
      <w:r>
        <w:rPr>
          <w:rFonts w:ascii="Noto Sans CJK JP" w:hAnsi="Noto Sans CJK JP" w:eastAsia="Noto Sans CJK JP" w:cs="Noto Sans CJK JP"/>
          <w:color w:val="1E2528"/>
          <w:sz w:val="16"/>
        </w:rPr>
        <w:t>World Health Organization, Artificial intelligence and evidence-informed policy: emerging challenges and opportunities: discussion paper. 2026-04-25. 監督、影響評価、人間の判断の必要性を示す機関技術文書。</w:t>
      </w:r>
      <w:hyperlink r:id="rId40">
        <w:r>
          <w:rPr>
            <w:rFonts w:ascii="Noto Sans CJK JP" w:hAnsi="Noto Sans CJK JP" w:eastAsia="Noto Sans CJK JP" w:cs="Noto Sans CJK JP"/>
            <w:color w:val="234C61"/>
            <w:u w:val="single"/>
            <w:sz w:val="15"/>
          </w:rPr>
          <w:t>https://www.who.int/publications/i/item/B09667</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[SRC-MDCG-MDSW25] </w:t>
      </w:r>
      <w:r>
        <w:rPr>
          <w:rFonts w:ascii="Noto Sans CJK JP" w:hAnsi="Noto Sans CJK JP" w:eastAsia="Noto Sans CJK JP" w:cs="Noto Sans CJK JP"/>
          <w:color w:val="1E2528"/>
          <w:sz w:val="16"/>
        </w:rPr>
        <w:t>Medical Device Coordination Group, MDCG 2019-11 rev.1, Guidance on Qualification and Classification of Software in Regulation (EU) 2017/745 — MDR and Regulation (EU) 2017/746 — IVDR. 2025-06-17. 欧州委員会の公式ガイダンスであり、法令ではありません。</w:t>
      </w:r>
      <w:hyperlink r:id="rId41">
        <w:r>
          <w:rPr>
            <w:rFonts w:ascii="Noto Sans CJK JP" w:hAnsi="Noto Sans CJK JP" w:eastAsia="Noto Sans CJK JP" w:cs="Noto Sans CJK JP"/>
            <w:color w:val="234C61"/>
            <w:u w:val="single"/>
            <w:sz w:val="15"/>
          </w:rPr>
          <w:t>https://health.ec.europa.eu/document/download/b45335c5-1679-4c71-a91c-fc7a4d37f12b_en</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[SRC-MDCG-AIA25] </w:t>
      </w:r>
      <w:r>
        <w:rPr>
          <w:rFonts w:ascii="Noto Sans CJK JP" w:hAnsi="Noto Sans CJK JP" w:eastAsia="Noto Sans CJK JP" w:cs="Noto Sans CJK JP"/>
          <w:color w:val="1E2528"/>
          <w:sz w:val="16"/>
        </w:rPr>
        <w:t>Artificial Intelligence Board / Medical Device Coordination Group, AIB 2025-1 — MDCG 2025-6, Interplay between the Medical Devices Regulation, the In Vitro Diagnostic Medical Devices Regulation and the Artificial Intelligence Act. 2025. 共同の公式ガイダンスであり、法令ではありません。</w:t>
      </w:r>
      <w:hyperlink r:id="rId42">
        <w:r>
          <w:rPr>
            <w:rFonts w:ascii="Noto Sans CJK JP" w:hAnsi="Noto Sans CJK JP" w:eastAsia="Noto Sans CJK JP" w:cs="Noto Sans CJK JP"/>
            <w:color w:val="234C61"/>
            <w:u w:val="single"/>
            <w:sz w:val="15"/>
          </w:rPr>
          <w:t>https://health.ec.europa.eu/document/download/b78a17d7-e3cd-4943-851d-e02a2f22bbb4_en</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[SRC-WHO-ADOLESCENT25] </w:t>
      </w:r>
      <w:r>
        <w:rPr>
          <w:rFonts w:ascii="Noto Sans CJK JP" w:hAnsi="Noto Sans CJK JP" w:eastAsia="Noto Sans CJK JP" w:cs="Noto Sans CJK JP"/>
          <w:color w:val="1E2528"/>
          <w:sz w:val="16"/>
        </w:rPr>
        <w:t>World Health Organization, Mental health of adolescents. 更新日：2025-09-01。機関ファクトシート。</w:t>
      </w:r>
      <w:hyperlink r:id="rId43">
        <w:r>
          <w:rPr>
            <w:rFonts w:ascii="Noto Sans CJK JP" w:hAnsi="Noto Sans CJK JP" w:eastAsia="Noto Sans CJK JP" w:cs="Noto Sans CJK JP"/>
            <w:color w:val="234C61"/>
            <w:u w:val="single"/>
            <w:sz w:val="15"/>
          </w:rPr>
          <w:t>https://www.who.int/news-room/fact-sheets/detail/adolescent-mental-health</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[SRC-WHO-CONNECTION25] </w:t>
      </w:r>
      <w:r>
        <w:rPr>
          <w:rFonts w:ascii="Noto Sans CJK JP" w:hAnsi="Noto Sans CJK JP" w:eastAsia="Noto Sans CJK JP" w:cs="Noto Sans CJK JP"/>
          <w:color w:val="1E2528"/>
          <w:sz w:val="16"/>
        </w:rPr>
        <w:t>World Health Organization, From loneliness to social connection: charting a path to healthier societies — Report of the WHO Commission on Social Connection. 2025-06-30. 機関報告書。</w:t>
      </w:r>
      <w:hyperlink r:id="rId44">
        <w:r>
          <w:rPr>
            <w:rFonts w:ascii="Noto Sans CJK JP" w:hAnsi="Noto Sans CJK JP" w:eastAsia="Noto Sans CJK JP" w:cs="Noto Sans CJK JP"/>
            <w:color w:val="234C61"/>
            <w:u w:val="single"/>
            <w:sz w:val="15"/>
          </w:rPr>
          <w:t>https://www.who.int/groups/commission-on-social-connection/report</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[SRC-UNICEF-AI-CHILD25] </w:t>
      </w:r>
      <w:r>
        <w:rPr>
          <w:rFonts w:ascii="Noto Sans CJK JP" w:hAnsi="Noto Sans CJK JP" w:eastAsia="Noto Sans CJK JP" w:cs="Noto Sans CJK JP"/>
          <w:color w:val="1E2528"/>
          <w:sz w:val="16"/>
        </w:rPr>
        <w:t>UNICEF Innocenti, Guidance on AI and Children, Version 3.0. 2025-12. 子どもの権利に基づく機関ガイドライン。</w:t>
      </w:r>
      <w:hyperlink r:id="rId45">
        <w:r>
          <w:rPr>
            <w:rFonts w:ascii="Noto Sans CJK JP" w:hAnsi="Noto Sans CJK JP" w:eastAsia="Noto Sans CJK JP" w:cs="Noto Sans CJK JP"/>
            <w:color w:val="234C61"/>
            <w:u w:val="single"/>
            <w:sz w:val="15"/>
          </w:rPr>
          <w:t>https://www.unicef.org/innocenti/reports/policy-guidance-ai-children</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[SRC-UNICEF-COMPANIONS26] </w:t>
      </w:r>
      <w:r>
        <w:rPr>
          <w:rFonts w:ascii="Noto Sans CJK JP" w:hAnsi="Noto Sans CJK JP" w:eastAsia="Noto Sans CJK JP" w:cs="Noto Sans CJK JP"/>
          <w:color w:val="1E2528"/>
          <w:sz w:val="16"/>
        </w:rPr>
        <w:t>UNICEF, When AI becomes a friend: Child rights risks, harms, and regulatory responses to AI chatbots and companions. 2026-06. ポリシーブリーフ。2026-05-15時点の規制状況を概観したものであり、臨床的な根拠ではありません。</w:t>
      </w:r>
      <w:hyperlink r:id="rId46">
        <w:r>
          <w:rPr>
            <w:rFonts w:ascii="Noto Sans CJK JP" w:hAnsi="Noto Sans CJK JP" w:eastAsia="Noto Sans CJK JP" w:cs="Noto Sans CJK JP"/>
            <w:color w:val="234C61"/>
            <w:u w:val="single"/>
            <w:sz w:val="15"/>
          </w:rPr>
          <w:t>https://www.unicef.org/documents/when-ai-becomes-friend-child-rights-risks</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[SRC-FTC-COMPANIONS25] </w:t>
      </w:r>
      <w:r>
        <w:rPr>
          <w:rFonts w:ascii="Noto Sans CJK JP" w:hAnsi="Noto Sans CJK JP" w:eastAsia="Noto Sans CJK JP" w:cs="Noto Sans CJK JP"/>
          <w:color w:val="1E2528"/>
          <w:sz w:val="16"/>
        </w:rPr>
        <w:t>U.S. Federal Trade Commission, FTC Launches Inquiry into AI Chatbots Acting as Companions. 2025-09-11. 規制当局による調査開始であり、臨床上の結果ではありません。</w:t>
      </w:r>
      <w:hyperlink r:id="rId47">
        <w:r>
          <w:rPr>
            <w:rFonts w:ascii="Noto Sans CJK JP" w:hAnsi="Noto Sans CJK JP" w:eastAsia="Noto Sans CJK JP" w:cs="Noto Sans CJK JP"/>
            <w:color w:val="234C61"/>
            <w:u w:val="single"/>
            <w:sz w:val="15"/>
          </w:rPr>
          <w:t>https://www.ftc.gov/news-events/news/press-releases/2025/09/ftc-launches-inquiry-ai-chatbots-acting-companions</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[SRC-UNESCO-GENAI-ED23] </w:t>
      </w:r>
      <w:r>
        <w:rPr>
          <w:rFonts w:ascii="Noto Sans CJK JP" w:hAnsi="Noto Sans CJK JP" w:eastAsia="Noto Sans CJK JP" w:cs="Noto Sans CJK JP"/>
          <w:color w:val="1E2528"/>
          <w:sz w:val="16"/>
        </w:rPr>
        <w:t>UNESCO, Guidance for generative AI in education and research. 2023-09-07、ページ更新日：2026-01-16。機関ガイドライン。</w:t>
      </w:r>
      <w:hyperlink r:id="rId48">
        <w:r>
          <w:rPr>
            <w:rFonts w:ascii="Noto Sans CJK JP" w:hAnsi="Noto Sans CJK JP" w:eastAsia="Noto Sans CJK JP" w:cs="Noto Sans CJK JP"/>
            <w:color w:val="234C61"/>
            <w:u w:val="single"/>
            <w:sz w:val="15"/>
          </w:rPr>
          <w:t>https://www.unesco.org/en/articles/guidance-generative-ai-education-and-research</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[SRC-ILO-GENAI-JOBS25] </w:t>
      </w:r>
      <w:r>
        <w:rPr>
          <w:rFonts w:ascii="Noto Sans CJK JP" w:hAnsi="Noto Sans CJK JP" w:eastAsia="Noto Sans CJK JP" w:cs="Noto Sans CJK JP"/>
          <w:color w:val="1E2528"/>
          <w:sz w:val="16"/>
        </w:rPr>
        <w:t>Paweł Gmyrek et al., Generative AI and Jobs: A Refined Global Index of Occupational Exposure. ILO Working Paper 140. 2025-05-20. 機関による調査報告書。</w:t>
      </w:r>
      <w:hyperlink r:id="rId49">
        <w:r>
          <w:rPr>
            <w:rFonts w:ascii="Noto Sans CJK JP" w:hAnsi="Noto Sans CJK JP" w:eastAsia="Noto Sans CJK JP" w:cs="Noto Sans CJK JP"/>
            <w:color w:val="234C61"/>
            <w:u w:val="single"/>
            <w:sz w:val="15"/>
          </w:rPr>
          <w:t>https://doi.org/10.54394/HETP0387</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[SRC-OHMAN-AFTERLIFE18] </w:t>
      </w:r>
      <w:r>
        <w:rPr>
          <w:rFonts w:ascii="Noto Sans CJK JP" w:hAnsi="Noto Sans CJK JP" w:eastAsia="Noto Sans CJK JP" w:cs="Noto Sans CJK JP"/>
          <w:color w:val="1E2528"/>
          <w:sz w:val="16"/>
        </w:rPr>
        <w:t>Carl Öhman, Luciano Floridi, An ethical framework for the digital afterlife industry. Nature Human Behaviour, 2, 318–320. 2018-04-09. 学術論文。</w:t>
      </w:r>
      <w:hyperlink r:id="rId50">
        <w:r>
          <w:rPr>
            <w:rFonts w:ascii="Noto Sans CJK JP" w:hAnsi="Noto Sans CJK JP" w:eastAsia="Noto Sans CJK JP" w:cs="Noto Sans CJK JP"/>
            <w:color w:val="234C61"/>
            <w:u w:val="single"/>
            <w:sz w:val="15"/>
          </w:rPr>
          <w:t>https://doi.org/10.1038/s41562-018-0335-2</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[SRC-UNCTAD-TIR25] </w:t>
      </w:r>
      <w:r>
        <w:rPr>
          <w:rFonts w:ascii="Noto Sans CJK JP" w:hAnsi="Noto Sans CJK JP" w:eastAsia="Noto Sans CJK JP" w:cs="Noto Sans CJK JP"/>
          <w:color w:val="1E2528"/>
          <w:sz w:val="16"/>
        </w:rPr>
        <w:t>UN Trade and Development, Technology and Innovation Report 2025: Inclusive artificial intelligence for development. 2025-04-07. 国連報告書。</w:t>
      </w:r>
      <w:hyperlink r:id="rId51">
        <w:r>
          <w:rPr>
            <w:rFonts w:ascii="Noto Sans CJK JP" w:hAnsi="Noto Sans CJK JP" w:eastAsia="Noto Sans CJK JP" w:cs="Noto Sans CJK JP"/>
            <w:color w:val="234C61"/>
            <w:u w:val="single"/>
            <w:sz w:val="15"/>
          </w:rPr>
          <w:t>https://unctad.org/publication/technology-and-innovation-report-2025</w:t>
        </w:r>
      </w:hyperlink>
      <w:r>
        <w:rPr>
          <w:rFonts w:ascii="Noto Sans CJK JP" w:hAnsi="Noto Sans CJK JP" w:eastAsia="Noto Sans CJK JP" w:cs="Noto Sans CJK JP"/>
          <w:color w:val="1E2528"/>
          <w:sz w:val="16"/>
        </w:rPr>
        <w:t>.</w:t>
      </w:r>
    </w:p>
    <w:p>
      <w:pPr>
        <w:pStyle w:val="Heading1"/>
      </w:pPr>
      <w:r>
        <w:t>エネルギー、材料、インフラをめぐる地政学</w:t>
      </w:r>
    </w:p>
    <w:p>
      <w:pPr>
        <w:spacing w:after="60"/>
        <w:ind w:left="173" w:hanging="173"/>
      </w:pPr>
      <w:r>
        <w:rPr>
          <w:rFonts w:ascii="Noto Sans CJK JP" w:hAnsi="Noto Sans CJK JP" w:eastAsia="Noto Sans CJK JP" w:cs="Noto Sans CJK JP"/>
          <w:b/>
          <w:color w:val="B54B2A"/>
          <w:sz w:val="15"/>
        </w:rPr>
        <w:t xml:space="preserve">[SRC-IEA-EAI25] </w:t>
      </w:r>
      <w:r>
        <w:rPr>
          <w:rFonts w:ascii="Noto Sans CJK JP" w:hAnsi="Noto Sans CJK JP" w:eastAsia="Noto Sans CJK JP" w:cs="Noto Sans CJK JP"/>
          <w:color w:val="1E2528"/>
          <w:sz w:val="16"/>
        </w:rPr>
        <w:t>International Energy Agency (IEA), Energy and AI. 2025-04-10. 機関報告書。</w:t>
      </w:r>
      <w:hyperlink r:id="rId52">
        <w:r>
          <w:rPr>
            <w:rFonts w:ascii="Noto Sans CJK JP" w:hAnsi="Noto Sans CJK JP" w:eastAsia="Noto Sans CJK JP" w:cs="Noto Sans CJK JP"/>
            <w:color w:val="234C61"/>
            <w:u w:val="single"/>
            <w:sz w:val="15"/>
          </w:rPr>
          <w:t>https://www.iea.org/reports/energy-and-ai</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[SRC-LBNL-DC24] </w:t>
      </w:r>
      <w:r>
        <w:rPr>
          <w:rFonts w:ascii="Noto Sans CJK JP" w:hAnsi="Noto Sans CJK JP" w:eastAsia="Noto Sans CJK JP" w:cs="Noto Sans CJK JP"/>
          <w:color w:val="1E2528"/>
          <w:sz w:val="16"/>
        </w:rPr>
        <w:t xml:space="preserve">Arman Shehabi et al., 2024 United States Data Center Energy Usage Report. Lawrence Berkeley National Laboratory / U.S. Department of Energy, 2024-12-19. 公式技術報告書。DOI 10.71468/P1WC7Q. </w:t>
      </w:r>
      <w:hyperlink r:id="rId53">
        <w:r>
          <w:rPr>
            <w:rFonts w:ascii="Noto Sans CJK JP" w:hAnsi="Noto Sans CJK JP" w:eastAsia="Noto Sans CJK JP" w:cs="Noto Sans CJK JP"/>
            <w:color w:val="234C61"/>
            <w:u w:val="single"/>
            <w:sz w:val="15"/>
          </w:rPr>
          <w:t>https://eta.lbl.gov/publications/2024-lbnl-data-center-energy-usage-report</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[SRC-USGS-WATER] </w:t>
      </w:r>
      <w:r>
        <w:rPr>
          <w:rFonts w:ascii="Noto Sans CJK JP" w:hAnsi="Noto Sans CJK JP" w:eastAsia="Noto Sans CJK JP" w:cs="Noto Sans CJK JP"/>
          <w:color w:val="1E2528"/>
          <w:sz w:val="16"/>
        </w:rPr>
        <w:t>U.S. Geological Survey, Water-Use Terminology. 公式ページ。参照日：2026-07-15。取水量（withdrawal）と水消費量（consumptive use）の定義。</w:t>
      </w:r>
      <w:hyperlink r:id="rId54">
        <w:r>
          <w:rPr>
            <w:rFonts w:ascii="Noto Sans CJK JP" w:hAnsi="Noto Sans CJK JP" w:eastAsia="Noto Sans CJK JP" w:cs="Noto Sans CJK JP"/>
            <w:color w:val="234C61"/>
            <w:u w:val="single"/>
            <w:sz w:val="15"/>
          </w:rPr>
          <w:t>https://www.usgs.gov/mission-areas/water-resources/science/water-use-terminology</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[SRC-ISO-LCA14040-44] </w:t>
      </w:r>
      <w:r>
        <w:rPr>
          <w:rFonts w:ascii="Noto Sans CJK JP" w:hAnsi="Noto Sans CJK JP" w:eastAsia="Noto Sans CJK JP" w:cs="Noto Sans CJK JP"/>
          <w:color w:val="1E2528"/>
          <w:sz w:val="16"/>
        </w:rPr>
        <w:t>International Organization for Standardization, ISO 14040:2006, Environmental management — Life cycle assessment — Principles and framework; ISO 14044:2006, Environmental management — Life cycle assessment — Requirements and guidelines. 現行版であることを2022年に確認。方法論的標準。</w:t>
      </w:r>
      <w:hyperlink r:id="rId55">
        <w:r>
          <w:rPr>
            <w:rFonts w:ascii="Noto Sans CJK JP" w:hAnsi="Noto Sans CJK JP" w:eastAsia="Noto Sans CJK JP" w:cs="Noto Sans CJK JP"/>
            <w:color w:val="234C61"/>
            <w:u w:val="single"/>
            <w:sz w:val="15"/>
          </w:rPr>
          <w:t>https://www.iso.org/standard/37456.html</w:t>
        </w:r>
      </w:hyperlink>
      <w:r>
        <w:rPr>
          <w:rFonts w:ascii="Noto Sans CJK JP" w:hAnsi="Noto Sans CJK JP" w:eastAsia="Noto Sans CJK JP" w:cs="Noto Sans CJK JP"/>
          <w:color w:val="1E2528"/>
          <w:sz w:val="16"/>
        </w:rPr>
        <w:t>;</w:t>
      </w:r>
      <w:r>
        <w:rPr>
          <w:rFonts w:ascii="Noto Sans CJK JP" w:hAnsi="Noto Sans CJK JP" w:eastAsia="Noto Sans CJK JP" w:cs="Noto Sans CJK JP"/>
          <w:color w:val="1E2528"/>
          <w:sz w:val="16"/>
        </w:rPr>
        <w:t xml:space="preserve"> </w:t>
      </w:r>
      <w:hyperlink r:id="rId56">
        <w:r>
          <w:rPr>
            <w:rFonts w:ascii="Noto Sans CJK JP" w:hAnsi="Noto Sans CJK JP" w:eastAsia="Noto Sans CJK JP" w:cs="Noto Sans CJK JP"/>
            <w:color w:val="234C61"/>
            <w:u w:val="single"/>
            <w:sz w:val="15"/>
          </w:rPr>
          <w:t>https://www.iso.org/standard/38498.html</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[SRC-USGS-MCS26] </w:t>
      </w:r>
      <w:r>
        <w:rPr>
          <w:rFonts w:ascii="Noto Sans CJK JP" w:hAnsi="Noto Sans CJK JP" w:eastAsia="Noto Sans CJK JP" w:cs="Noto Sans CJK JP"/>
          <w:color w:val="1E2528"/>
          <w:sz w:val="16"/>
        </w:rPr>
        <w:t>U.S. Geological Survey, Mineral Commodity Summaries 2026. Version 1.3、2026年五月。公式報告書。</w:t>
      </w:r>
      <w:hyperlink r:id="rId57">
        <w:r>
          <w:rPr>
            <w:rFonts w:ascii="Noto Sans CJK JP" w:hAnsi="Noto Sans CJK JP" w:eastAsia="Noto Sans CJK JP" w:cs="Noto Sans CJK JP"/>
            <w:color w:val="234C61"/>
            <w:u w:val="single"/>
            <w:sz w:val="15"/>
          </w:rPr>
          <w:t>https://doi.org/10.3133/mcs2026</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[SRC-IEA-CM25] </w:t>
      </w:r>
      <w:r>
        <w:rPr>
          <w:rFonts w:ascii="Noto Sans CJK JP" w:hAnsi="Noto Sans CJK JP" w:eastAsia="Noto Sans CJK JP" w:cs="Noto Sans CJK JP"/>
          <w:color w:val="1E2528"/>
          <w:sz w:val="16"/>
        </w:rPr>
        <w:t>International Energy Agency (IEA), Global Critical Minerals Outlook 2025. 2025. 機関報告書。</w:t>
      </w:r>
      <w:hyperlink r:id="rId58">
        <w:r>
          <w:rPr>
            <w:rFonts w:ascii="Noto Sans CJK JP" w:hAnsi="Noto Sans CJK JP" w:eastAsia="Noto Sans CJK JP" w:cs="Noto Sans CJK JP"/>
            <w:color w:val="234C61"/>
            <w:u w:val="single"/>
            <w:sz w:val="15"/>
          </w:rPr>
          <w:t>https://www.iea.org/reports/global-critical-minerals-outlook-2025</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[SRC-UNITAR-EW24] </w:t>
      </w:r>
      <w:r>
        <w:rPr>
          <w:rFonts w:ascii="Noto Sans CJK JP" w:hAnsi="Noto Sans CJK JP" w:eastAsia="Noto Sans CJK JP" w:cs="Noto Sans CJK JP"/>
          <w:color w:val="1E2528"/>
          <w:sz w:val="16"/>
        </w:rPr>
        <w:t>UNITAR SCYCLE、International Telecommunication Union, Global E-waste Monitor 2024. 2024-03-20. 国連報告書。</w:t>
      </w:r>
      <w:hyperlink r:id="rId59">
        <w:r>
          <w:rPr>
            <w:rFonts w:ascii="Noto Sans CJK JP" w:hAnsi="Noto Sans CJK JP" w:eastAsia="Noto Sans CJK JP" w:cs="Noto Sans CJK JP"/>
            <w:color w:val="234C61"/>
            <w:u w:val="single"/>
            <w:sz w:val="15"/>
          </w:rPr>
          <w:t>https://www.itu.int/hub/publication/d-gen-e_waste-01-2024/</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[SRC-STARCLOUD1-25] </w:t>
      </w:r>
      <w:r>
        <w:rPr>
          <w:rFonts w:ascii="Noto Sans CJK JP" w:hAnsi="Noto Sans CJK JP" w:eastAsia="Noto Sans CJK JP" w:cs="Noto Sans CJK JP"/>
          <w:color w:val="1E2528"/>
          <w:sz w:val="16"/>
        </w:rPr>
        <w:t>Starcloud, Starcloud-1. 自社の活動に関する企業ページ。2025年十一月に衛星を打ち上げたと記載していますが、規模や商業的実現可能性を立証するものではありません。参照日：2026-07-17。</w:t>
      </w:r>
      <w:hyperlink r:id="rId60">
        <w:r>
          <w:rPr>
            <w:rFonts w:ascii="Noto Sans CJK JP" w:hAnsi="Noto Sans CJK JP" w:eastAsia="Noto Sans CJK JP" w:cs="Noto Sans CJK JP"/>
            <w:color w:val="234C61"/>
            <w:u w:val="single"/>
            <w:sz w:val="15"/>
          </w:rPr>
          <w:t>https://www.starcloud.com/starcloud-1</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[SRC-AXIOM-ODC26] </w:t>
      </w:r>
      <w:r>
        <w:rPr>
          <w:rFonts w:ascii="Noto Sans CJK JP" w:hAnsi="Noto Sans CJK JP" w:eastAsia="Noto Sans CJK JP" w:cs="Noto Sans CJK JP"/>
          <w:color w:val="1E2528"/>
          <w:sz w:val="16"/>
        </w:rPr>
        <w:t>Axiom Space, Orbital Data Centers. 自社の活動に関する企業ページ。2026年一月11日に専用ノード二基を地球低軌道へ打ち上げたと記載しています。参照日：2026-07-17。</w:t>
      </w:r>
      <w:hyperlink r:id="rId61">
        <w:r>
          <w:rPr>
            <w:rFonts w:ascii="Noto Sans CJK JP" w:hAnsi="Noto Sans CJK JP" w:eastAsia="Noto Sans CJK JP" w:cs="Noto Sans CJK JP"/>
            <w:color w:val="234C61"/>
            <w:u w:val="single"/>
            <w:sz w:val="15"/>
          </w:rPr>
          <w:t>https://www.axiomspace.com/orbital-data-center</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[SRC-GOOGLE-SUNCATCHER25] </w:t>
      </w:r>
      <w:r>
        <w:rPr>
          <w:rFonts w:ascii="Noto Sans CJK JP" w:hAnsi="Noto Sans CJK JP" w:eastAsia="Noto Sans CJK JP" w:cs="Noto Sans CJK JP"/>
          <w:color w:val="1E2528"/>
          <w:sz w:val="16"/>
        </w:rPr>
        <w:t>Google Research, Exploring a space-based, scalable AI infrastructure system design. 2025-11-04. Project Suncatcherに関する企業発表。2027年初頭に予定されている二基の試作衛星は、発表済みの計画であり、実施済みの打ち上げではありません。参照日：2026-07-17。</w:t>
      </w:r>
      <w:hyperlink r:id="rId62">
        <w:r>
          <w:rPr>
            <w:rFonts w:ascii="Noto Sans CJK JP" w:hAnsi="Noto Sans CJK JP" w:eastAsia="Noto Sans CJK JP" w:cs="Noto Sans CJK JP"/>
            <w:color w:val="234C61"/>
            <w:u w:val="single"/>
            <w:sz w:val="15"/>
          </w:rPr>
          <w:t>https://research.google/blog/exploring-a-space-based-scalable-ai-infrastructure-system-design/</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[SRC-CORDIS-ASCEND] </w:t>
      </w:r>
      <w:r>
        <w:rPr>
          <w:rFonts w:ascii="Noto Sans CJK JP" w:hAnsi="Noto Sans CJK JP" w:eastAsia="Noto Sans CJK JP" w:cs="Noto Sans CJK JP"/>
          <w:color w:val="1E2528"/>
          <w:sz w:val="16"/>
        </w:rPr>
        <w:t>Commissione europea, CORDIS, Advanced Space Cloud for European Net zero emissions and Data sovereignty (ASCEND), grant agreement 101082517: Fact Sheet e Periodic Reporting. プロジェクト期間：2023-01-01–2024-04-30；報告書更新日：2026-01-14。機関による実現可能性のファクトシートおよび報告書であり、独立した技術資料ではありません。プロジェクトDOI 10.3030/101082517。参照日：2026-07-17。</w:t>
      </w:r>
      <w:hyperlink r:id="rId63">
        <w:r>
          <w:rPr>
            <w:rFonts w:ascii="Noto Sans CJK JP" w:hAnsi="Noto Sans CJK JP" w:eastAsia="Noto Sans CJK JP" w:cs="Noto Sans CJK JP"/>
            <w:color w:val="234C61"/>
            <w:u w:val="single"/>
            <w:sz w:val="15"/>
          </w:rPr>
          <w:t>https://cordis.europa.eu/project/id/101082517</w:t>
        </w:r>
      </w:hyperlink>
      <w:r>
        <w:rPr>
          <w:rFonts w:ascii="Noto Sans CJK JP" w:hAnsi="Noto Sans CJK JP" w:eastAsia="Noto Sans CJK JP" w:cs="Noto Sans CJK JP"/>
          <w:color w:val="1E2528"/>
          <w:sz w:val="16"/>
        </w:rPr>
        <w:t>;</w:t>
      </w:r>
      <w:r>
        <w:rPr>
          <w:rFonts w:ascii="Noto Sans CJK JP" w:hAnsi="Noto Sans CJK JP" w:eastAsia="Noto Sans CJK JP" w:cs="Noto Sans CJK JP"/>
          <w:color w:val="1E2528"/>
          <w:sz w:val="16"/>
        </w:rPr>
        <w:t xml:space="preserve"> </w:t>
      </w:r>
      <w:hyperlink r:id="rId64">
        <w:r>
          <w:rPr>
            <w:rFonts w:ascii="Noto Sans CJK JP" w:hAnsi="Noto Sans CJK JP" w:eastAsia="Noto Sans CJK JP" w:cs="Noto Sans CJK JP"/>
            <w:color w:val="234C61"/>
            <w:u w:val="single"/>
            <w:sz w:val="15"/>
          </w:rPr>
          <w:t>https://cordis.europa.eu/project/id/101082517/reporting</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[SRC-TURYSHEV-ODC26] </w:t>
      </w:r>
      <w:r>
        <w:rPr>
          <w:rFonts w:ascii="Noto Sans CJK JP" w:hAnsi="Noto Sans CJK JP" w:eastAsia="Noto Sans CJK JP" w:cs="Noto Sans CJK JP"/>
          <w:color w:val="1E2528"/>
          <w:sz w:val="16"/>
        </w:rPr>
        <w:t>Slava G. Turyshev, Orbital Data Centers: Spacecraft Constraints and Economic Viability. 2026-04-29. 独立した技術プレプリント、arXiv:2604.27197。DOI 10.48550/arXiv.2604.27197。参照日：2026-07-17。</w:t>
      </w:r>
      <w:hyperlink r:id="rId65">
        <w:r>
          <w:rPr>
            <w:rFonts w:ascii="Noto Sans CJK JP" w:hAnsi="Noto Sans CJK JP" w:eastAsia="Noto Sans CJK JP" w:cs="Noto Sans CJK JP"/>
            <w:color w:val="234C61"/>
            <w:u w:val="single"/>
            <w:sz w:val="15"/>
          </w:rPr>
          <w:t>https://arxiv.org/abs/2604.27197</w:t>
        </w:r>
      </w:hyperlink>
      <w:r>
        <w:rPr>
          <w:rFonts w:ascii="Noto Sans CJK JP" w:hAnsi="Noto Sans CJK JP" w:eastAsia="Noto Sans CJK JP" w:cs="Noto Sans CJK JP"/>
          <w:color w:val="1E2528"/>
          <w:sz w:val="16"/>
        </w:rPr>
        <w:t>;</w:t>
      </w:r>
      <w:r>
        <w:rPr>
          <w:rFonts w:ascii="Noto Sans CJK JP" w:hAnsi="Noto Sans CJK JP" w:eastAsia="Noto Sans CJK JP" w:cs="Noto Sans CJK JP"/>
          <w:color w:val="1E2528"/>
          <w:sz w:val="16"/>
        </w:rPr>
        <w:t xml:space="preserve"> </w:t>
      </w:r>
      <w:hyperlink r:id="rId66">
        <w:r>
          <w:rPr>
            <w:rFonts w:ascii="Noto Sans CJK JP" w:hAnsi="Noto Sans CJK JP" w:eastAsia="Noto Sans CJK JP" w:cs="Noto Sans CJK JP"/>
            <w:color w:val="234C61"/>
            <w:u w:val="single"/>
            <w:sz w:val="15"/>
          </w:rPr>
          <w:t>https://doi.org/10.48550/arXiv.2604.27197</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[SRC-ALAHMAD-SBDC26] </w:t>
      </w:r>
      <w:r>
        <w:rPr>
          <w:rFonts w:ascii="Noto Sans CJK JP" w:hAnsi="Noto Sans CJK JP" w:eastAsia="Noto Sans CJK JP" w:cs="Noto Sans CJK JP"/>
          <w:color w:val="1E2528"/>
          <w:sz w:val="16"/>
        </w:rPr>
        <w:t>Mahmoud Al Ahmad, Qurban Memon、Michael Pecht, Reliability and Risk in Space-Based Data Centers: A Lifecycle Assessment of Orbital Cloud Infrastructure. Applied Sciences, 16(11), 5247. 2026-05-23. 独立した査読付き技術論文。DOI 10.3390/app16115247。参照日：2026-07-17。</w:t>
      </w:r>
      <w:hyperlink r:id="rId67">
        <w:r>
          <w:rPr>
            <w:rFonts w:ascii="Noto Sans CJK JP" w:hAnsi="Noto Sans CJK JP" w:eastAsia="Noto Sans CJK JP" w:cs="Noto Sans CJK JP"/>
            <w:color w:val="234C61"/>
            <w:u w:val="single"/>
            <w:sz w:val="15"/>
          </w:rPr>
          <w:t>https://www.mdpi.com/2076-3417/16/11/5247</w:t>
        </w:r>
      </w:hyperlink>
      <w:r>
        <w:rPr>
          <w:rFonts w:ascii="Noto Sans CJK JP" w:hAnsi="Noto Sans CJK JP" w:eastAsia="Noto Sans CJK JP" w:cs="Noto Sans CJK JP"/>
          <w:color w:val="1E2528"/>
          <w:sz w:val="16"/>
        </w:rPr>
        <w:t>;</w:t>
      </w:r>
      <w:r>
        <w:rPr>
          <w:rFonts w:ascii="Noto Sans CJK JP" w:hAnsi="Noto Sans CJK JP" w:eastAsia="Noto Sans CJK JP" w:cs="Noto Sans CJK JP"/>
          <w:color w:val="1E2528"/>
          <w:sz w:val="16"/>
        </w:rPr>
        <w:t xml:space="preserve"> </w:t>
      </w:r>
      <w:hyperlink r:id="rId68">
        <w:r>
          <w:rPr>
            <w:rFonts w:ascii="Noto Sans CJK JP" w:hAnsi="Noto Sans CJK JP" w:eastAsia="Noto Sans CJK JP" w:cs="Noto Sans CJK JP"/>
            <w:color w:val="234C61"/>
            <w:u w:val="single"/>
            <w:sz w:val="15"/>
          </w:rPr>
          <w:t>https://doi.org/10.3390/app16115247</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[SRC-WILSON-LCSA23] </w:t>
      </w:r>
      <w:r>
        <w:rPr>
          <w:rFonts w:ascii="Noto Sans CJK JP" w:hAnsi="Noto Sans CJK JP" w:eastAsia="Noto Sans CJK JP" w:cs="Noto Sans CJK JP"/>
          <w:color w:val="1E2528"/>
          <w:sz w:val="16"/>
        </w:rPr>
        <w:t>Andrew R. Wilson, Massimiliano Vasile, Christie Maddock、Keith Baker, Implementing life cycle sustainability assessment for improved space mission design. Integrated Environmental Assessment and Management, 19, 1002–1022, 2023. 独立した査読付き技術論文。DOI 10.1002/ieam.4722。参照日：2026-07-17。</w:t>
      </w:r>
      <w:hyperlink r:id="rId69">
        <w:r>
          <w:rPr>
            <w:rFonts w:ascii="Noto Sans CJK JP" w:hAnsi="Noto Sans CJK JP" w:eastAsia="Noto Sans CJK JP" w:cs="Noto Sans CJK JP"/>
            <w:color w:val="234C61"/>
            <w:u w:val="single"/>
            <w:sz w:val="15"/>
          </w:rPr>
          <w:t>https://onlinelibrary.wiley.com/doi/10.1002/ieam.4722</w:t>
        </w:r>
      </w:hyperlink>
      <w:r>
        <w:rPr>
          <w:rFonts w:ascii="Noto Sans CJK JP" w:hAnsi="Noto Sans CJK JP" w:eastAsia="Noto Sans CJK JP" w:cs="Noto Sans CJK JP"/>
          <w:color w:val="1E2528"/>
          <w:sz w:val="16"/>
        </w:rPr>
        <w:t>;</w:t>
      </w:r>
      <w:r>
        <w:rPr>
          <w:rFonts w:ascii="Noto Sans CJK JP" w:hAnsi="Noto Sans CJK JP" w:eastAsia="Noto Sans CJK JP" w:cs="Noto Sans CJK JP"/>
          <w:color w:val="1E2528"/>
          <w:sz w:val="16"/>
        </w:rPr>
        <w:t xml:space="preserve"> </w:t>
      </w:r>
      <w:hyperlink r:id="rId70">
        <w:r>
          <w:rPr>
            <w:rFonts w:ascii="Noto Sans CJK JP" w:hAnsi="Noto Sans CJK JP" w:eastAsia="Noto Sans CJK JP" w:cs="Noto Sans CJK JP"/>
            <w:color w:val="234C61"/>
            <w:u w:val="single"/>
            <w:sz w:val="15"/>
          </w:rPr>
          <w:t>https://doi.org/10.1002/ieam.4722</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[SRC-MURPHY-REENTRY23] </w:t>
      </w:r>
      <w:r>
        <w:rPr>
          <w:rFonts w:ascii="Noto Sans CJK JP" w:hAnsi="Noto Sans CJK JP" w:eastAsia="Noto Sans CJK JP" w:cs="Noto Sans CJK JP"/>
          <w:color w:val="1E2528"/>
          <w:sz w:val="16"/>
        </w:rPr>
        <w:t>Daniel M. Murphy et al., Metals from spacecraft reentry in stratospheric aerosol particles. Proceedings of the National Academy of Sciences, 120(43), 2023. 独立した査読付き学術論文。写しがNOAAの機関リポジトリにも収録されています。DOI 10.1073/pnas.2313374120。参照日：2026-07-17。</w:t>
      </w:r>
      <w:hyperlink r:id="rId71">
        <w:r>
          <w:rPr>
            <w:rFonts w:ascii="Noto Sans CJK JP" w:hAnsi="Noto Sans CJK JP" w:eastAsia="Noto Sans CJK JP" w:cs="Noto Sans CJK JP"/>
            <w:color w:val="234C61"/>
            <w:u w:val="single"/>
            <w:sz w:val="15"/>
          </w:rPr>
          <w:t>https://repository.library.noaa.gov/view/noaa/58476</w:t>
        </w:r>
      </w:hyperlink>
      <w:r>
        <w:rPr>
          <w:rFonts w:ascii="Noto Sans CJK JP" w:hAnsi="Noto Sans CJK JP" w:eastAsia="Noto Sans CJK JP" w:cs="Noto Sans CJK JP"/>
          <w:color w:val="1E2528"/>
          <w:sz w:val="16"/>
        </w:rPr>
        <w:t>;</w:t>
      </w:r>
      <w:r>
        <w:rPr>
          <w:rFonts w:ascii="Noto Sans CJK JP" w:hAnsi="Noto Sans CJK JP" w:eastAsia="Noto Sans CJK JP" w:cs="Noto Sans CJK JP"/>
          <w:color w:val="1E2528"/>
          <w:sz w:val="16"/>
        </w:rPr>
        <w:t xml:space="preserve"> </w:t>
      </w:r>
      <w:hyperlink r:id="rId72">
        <w:r>
          <w:rPr>
            <w:rFonts w:ascii="Noto Sans CJK JP" w:hAnsi="Noto Sans CJK JP" w:eastAsia="Noto Sans CJK JP" w:cs="Noto Sans CJK JP"/>
            <w:color w:val="234C61"/>
            <w:u w:val="single"/>
            <w:sz w:val="15"/>
          </w:rPr>
          <w:t>https://doi.org/10.1073/pnas.2313374120</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[SRC-KPA-MOMBASA] </w:t>
      </w:r>
      <w:r>
        <w:rPr>
          <w:rFonts w:ascii="Noto Sans CJK JP" w:hAnsi="Noto Sans CJK JP" w:eastAsia="Noto Sans CJK JP" w:cs="Noto Sans CJK JP"/>
          <w:color w:val="1E2528"/>
          <w:sz w:val="16"/>
        </w:rPr>
        <w:t>Kenya Ports Authority, Port of Mombasa. 港と後背地を結ぶ複合一貫輸送に関する機関ページ。参照日：2026-07-17。</w:t>
      </w:r>
      <w:hyperlink r:id="rId73">
        <w:r>
          <w:rPr>
            <w:rFonts w:ascii="Noto Sans CJK JP" w:hAnsi="Noto Sans CJK JP" w:eastAsia="Noto Sans CJK JP" w:cs="Noto Sans CJK JP"/>
            <w:color w:val="234C61"/>
            <w:u w:val="single"/>
            <w:sz w:val="15"/>
          </w:rPr>
          <w:t>https://kpa.co.ke/Ports/PortOfMombasa</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[SRC-NCTTCA-NORTHERN-CORRIDOR] </w:t>
      </w:r>
      <w:r>
        <w:rPr>
          <w:rFonts w:ascii="Noto Sans CJK JP" w:hAnsi="Noto Sans CJK JP" w:eastAsia="Noto Sans CJK JP" w:cs="Noto Sans CJK JP"/>
          <w:color w:val="1E2528"/>
          <w:sz w:val="16"/>
        </w:rPr>
        <w:t>Northern Corridor Transit and Transport Coordination Authority, Who We Are. モンバサ港とアフリカ大湖沼地域の、海への出口をもたない国々を結ぶ北部回廊に関する機関ページ。参照日：2026-07-17。</w:t>
      </w:r>
      <w:hyperlink r:id="rId74">
        <w:r>
          <w:rPr>
            <w:rFonts w:ascii="Noto Sans CJK JP" w:hAnsi="Noto Sans CJK JP" w:eastAsia="Noto Sans CJK JP" w:cs="Noto Sans CJK JP"/>
            <w:color w:val="234C61"/>
            <w:u w:val="single"/>
            <w:sz w:val="15"/>
          </w:rPr>
          <w:t>https://www.ttcanc.org/node/70</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[SRC-NIST-CHIPS-SUPPLY] </w:t>
      </w:r>
      <w:r>
        <w:rPr>
          <w:rFonts w:ascii="Noto Sans CJK JP" w:hAnsi="Noto Sans CJK JP" w:eastAsia="Noto Sans CJK JP" w:cs="Noto Sans CJK JP"/>
          <w:color w:val="1E2528"/>
          <w:sz w:val="16"/>
        </w:rPr>
        <w:t>NIST, Vision for Success: Facilities for Semiconductor Materials and Manufacturing Equipment. NIST / CHIPS for America. 2023-06-22. 公式文書。</w:t>
      </w:r>
      <w:hyperlink r:id="rId75">
        <w:r>
          <w:rPr>
            <w:rFonts w:ascii="Noto Sans CJK JP" w:hAnsi="Noto Sans CJK JP" w:eastAsia="Noto Sans CJK JP" w:cs="Noto Sans CJK JP"/>
            <w:color w:val="234C61"/>
            <w:u w:val="single"/>
            <w:sz w:val="15"/>
          </w:rPr>
          <w:t>https://www.nist.gov/chips/vision-success-facilities-semiconductor-materials-and-manufacturing-equipment</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[SRC-GAO-SEMI22] </w:t>
      </w:r>
      <w:r>
        <w:rPr>
          <w:rFonts w:ascii="Noto Sans CJK JP" w:hAnsi="Noto Sans CJK JP" w:eastAsia="Noto Sans CJK JP" w:cs="Noto Sans CJK JP"/>
          <w:color w:val="1E2528"/>
          <w:sz w:val="16"/>
        </w:rPr>
        <w:t>U.S. Government Accountability Office, Semiconductor Supply Chain: Policy Considerations from Selected Experts for Reducing Risks and Mitigating Shortages. 2022-07-26. 公式報告書。</w:t>
      </w:r>
      <w:hyperlink r:id="rId76">
        <w:r>
          <w:rPr>
            <w:rFonts w:ascii="Noto Sans CJK JP" w:hAnsi="Noto Sans CJK JP" w:eastAsia="Noto Sans CJK JP" w:cs="Noto Sans CJK JP"/>
            <w:color w:val="234C61"/>
            <w:u w:val="single"/>
            <w:sz w:val="15"/>
          </w:rPr>
          <w:t>https://www.gao.gov/products/gao-22-105923</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[SRC-EU-CHIPS] </w:t>
      </w:r>
      <w:r>
        <w:rPr>
          <w:rFonts w:ascii="Noto Sans CJK JP" w:hAnsi="Noto Sans CJK JP" w:eastAsia="Noto Sans CJK JP" w:cs="Noto Sans CJK JP"/>
          <w:color w:val="1E2528"/>
          <w:sz w:val="16"/>
        </w:rPr>
        <w:t>Commissione europea, European Chips Act. 現行の枠組みに関する機関ページであり、法令そのものではありません。参照年：2026。</w:t>
      </w:r>
      <w:hyperlink r:id="rId77">
        <w:r>
          <w:rPr>
            <w:rFonts w:ascii="Noto Sans CJK JP" w:hAnsi="Noto Sans CJK JP" w:eastAsia="Noto Sans CJK JP" w:cs="Noto Sans CJK JP"/>
            <w:color w:val="234C61"/>
            <w:u w:val="single"/>
            <w:sz w:val="15"/>
          </w:rPr>
          <w:t>https://digital-strategy.ec.europa.eu/en/policies/european-chips-act</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[SRC-EU-CHIPS2-26] </w:t>
      </w:r>
      <w:r>
        <w:rPr>
          <w:rFonts w:ascii="Noto Sans CJK JP" w:hAnsi="Noto Sans CJK JP" w:eastAsia="Noto Sans CJK JP" w:cs="Noto Sans CJK JP"/>
          <w:color w:val="1E2528"/>
          <w:sz w:val="16"/>
        </w:rPr>
        <w:t>Commissione europea, Proposal for the Chips Act 2.0. 2026-06-03. 立法提案であり、現行法ではありません。</w:t>
      </w:r>
      <w:hyperlink r:id="rId78">
        <w:r>
          <w:rPr>
            <w:rFonts w:ascii="Noto Sans CJK JP" w:hAnsi="Noto Sans CJK JP" w:eastAsia="Noto Sans CJK JP" w:cs="Noto Sans CJK JP"/>
            <w:color w:val="234C61"/>
            <w:u w:val="single"/>
            <w:sz w:val="15"/>
          </w:rPr>
          <w:t>https://digital-strategy.ec.europa.eu/en/library/proposal-chips-act-20</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[SRC-BIS-AC26] </w:t>
      </w:r>
      <w:r>
        <w:rPr>
          <w:rFonts w:ascii="Noto Sans CJK JP" w:hAnsi="Noto Sans CJK JP" w:eastAsia="Noto Sans CJK JP" w:cs="Noto Sans CJK JP"/>
          <w:color w:val="1E2528"/>
          <w:sz w:val="16"/>
        </w:rPr>
        <w:t>U.S. Bureau of Industry and Security, Revision to License Review Policy for Advanced Computing Commodities. 91 FR 1684、15 CFR parts 742, 744、748の最終規則。2026-01-15に公表・発効；Extension of Authorized Integrated Circuit Designer Status, 91 FR 17851は2026-04-09に公表され、2026-04-07に発効；Guidance on Advanced Computing Itemsは2026-05のFAQ。公式の法令およびガイダンス。適用については、現行のEARと具体的な取引に照らして確認する必要があります。参照日：2026-07-17。</w:t>
      </w:r>
      <w:hyperlink r:id="rId79">
        <w:r>
          <w:rPr>
            <w:rFonts w:ascii="Noto Sans CJK JP" w:hAnsi="Noto Sans CJK JP" w:eastAsia="Noto Sans CJK JP" w:cs="Noto Sans CJK JP"/>
            <w:color w:val="234C61"/>
            <w:u w:val="single"/>
            <w:sz w:val="15"/>
          </w:rPr>
          <w:t>https://www.federalregister.gov/documents/2026/01/15/2026-00789/revision-to-license-review-policy-for-advanced-computing-commodities</w:t>
        </w:r>
      </w:hyperlink>
      <w:r>
        <w:rPr>
          <w:rFonts w:ascii="Noto Sans CJK JP" w:hAnsi="Noto Sans CJK JP" w:eastAsia="Noto Sans CJK JP" w:cs="Noto Sans CJK JP"/>
          <w:color w:val="1E2528"/>
          <w:sz w:val="16"/>
        </w:rPr>
        <w:t>;</w:t>
      </w:r>
      <w:r>
        <w:rPr>
          <w:rFonts w:ascii="Noto Sans CJK JP" w:hAnsi="Noto Sans CJK JP" w:eastAsia="Noto Sans CJK JP" w:cs="Noto Sans CJK JP"/>
          <w:color w:val="1E2528"/>
          <w:sz w:val="16"/>
        </w:rPr>
        <w:t xml:space="preserve"> </w:t>
      </w:r>
      <w:hyperlink r:id="rId80">
        <w:r>
          <w:rPr>
            <w:rFonts w:ascii="Noto Sans CJK JP" w:hAnsi="Noto Sans CJK JP" w:eastAsia="Noto Sans CJK JP" w:cs="Noto Sans CJK JP"/>
            <w:color w:val="234C61"/>
            <w:u w:val="single"/>
            <w:sz w:val="15"/>
          </w:rPr>
          <w:t>https://www.bis.gov/regulations/federal-register-notices</w:t>
        </w:r>
      </w:hyperlink>
      <w:r>
        <w:rPr>
          <w:rFonts w:ascii="Noto Sans CJK JP" w:hAnsi="Noto Sans CJK JP" w:eastAsia="Noto Sans CJK JP" w:cs="Noto Sans CJK JP"/>
          <w:color w:val="1E2528"/>
          <w:sz w:val="16"/>
        </w:rPr>
        <w:t>;</w:t>
      </w:r>
      <w:r>
        <w:rPr>
          <w:rFonts w:ascii="Noto Sans CJK JP" w:hAnsi="Noto Sans CJK JP" w:eastAsia="Noto Sans CJK JP" w:cs="Noto Sans CJK JP"/>
          <w:color w:val="1E2528"/>
          <w:sz w:val="16"/>
        </w:rPr>
        <w:t xml:space="preserve"> </w:t>
      </w:r>
      <w:hyperlink r:id="rId81">
        <w:r>
          <w:rPr>
            <w:rFonts w:ascii="Noto Sans CJK JP" w:hAnsi="Noto Sans CJK JP" w:eastAsia="Noto Sans CJK JP" w:cs="Noto Sans CJK JP"/>
            <w:color w:val="234C61"/>
            <w:u w:val="single"/>
            <w:sz w:val="15"/>
          </w:rPr>
          <w:t>https://www.bis.gov/regulations/ear/744</w:t>
        </w:r>
      </w:hyperlink>
      <w:r>
        <w:rPr>
          <w:rFonts w:ascii="Noto Sans CJK JP" w:hAnsi="Noto Sans CJK JP" w:eastAsia="Noto Sans CJK JP" w:cs="Noto Sans CJK JP"/>
          <w:color w:val="1E2528"/>
          <w:sz w:val="16"/>
        </w:rPr>
        <w:t>;</w:t>
      </w:r>
      <w:r>
        <w:rPr>
          <w:rFonts w:ascii="Noto Sans CJK JP" w:hAnsi="Noto Sans CJK JP" w:eastAsia="Noto Sans CJK JP" w:cs="Noto Sans CJK JP"/>
          <w:color w:val="1E2528"/>
          <w:sz w:val="16"/>
        </w:rPr>
        <w:t xml:space="preserve"> </w:t>
      </w:r>
      <w:hyperlink r:id="rId82">
        <w:r>
          <w:rPr>
            <w:rFonts w:ascii="Noto Sans CJK JP" w:hAnsi="Noto Sans CJK JP" w:eastAsia="Noto Sans CJK JP" w:cs="Noto Sans CJK JP"/>
            <w:color w:val="234C61"/>
            <w:u w:val="single"/>
            <w:sz w:val="15"/>
          </w:rPr>
          <w:t>https://www.bis.gov/regulations/ear/748</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[SRC-ITU-CABLES26] </w:t>
      </w:r>
      <w:r>
        <w:rPr>
          <w:rFonts w:ascii="Noto Sans CJK JP" w:hAnsi="Noto Sans CJK JP" w:eastAsia="Noto Sans CJK JP" w:cs="Noto Sans CJK JP"/>
          <w:color w:val="1E2528"/>
          <w:sz w:val="16"/>
        </w:rPr>
        <w:t>International Telecommunication Union、International Cable Protection Committee, International Advisory Body on Submarine Cable Resilience — Report of the Working Groups 2026. 承認日：2026-07-10。最終機関報告書。</w:t>
      </w:r>
      <w:hyperlink r:id="rId83">
        <w:r>
          <w:rPr>
            <w:rFonts w:ascii="Noto Sans CJK JP" w:hAnsi="Noto Sans CJK JP" w:eastAsia="Noto Sans CJK JP" w:cs="Noto Sans CJK JP"/>
            <w:color w:val="234C61"/>
            <w:u w:val="single"/>
            <w:sz w:val="15"/>
          </w:rPr>
          <w:t>https://www.itu.int/hub/publication/s-iab-wg-2026/</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[SRC-CMA-CLOUD25] </w:t>
      </w:r>
      <w:r>
        <w:rPr>
          <w:rFonts w:ascii="Noto Sans CJK JP" w:hAnsi="Noto Sans CJK JP" w:eastAsia="Noto Sans CJK JP" w:cs="Noto Sans CJK JP"/>
          <w:color w:val="1E2528"/>
          <w:sz w:val="16"/>
        </w:rPr>
        <w:t>UK Competition and Markets Authority, Cloud services market investigation — final decision. 2025-07-31. 英国の公共クラウドインフラ市場に関する最終規制決定。更新資料：Actions on cloud and business software through the UK digital markets competition regime, 2026-03-31、およびMicrosoftのソフトウェア・エコシステムに対するSMS調査の開始、2026-05-14。</w:t>
      </w:r>
      <w:hyperlink r:id="rId84">
        <w:r>
          <w:rPr>
            <w:rFonts w:ascii="Noto Sans CJK JP" w:hAnsi="Noto Sans CJK JP" w:eastAsia="Noto Sans CJK JP" w:cs="Noto Sans CJK JP"/>
            <w:color w:val="234C61"/>
            <w:u w:val="single"/>
            <w:sz w:val="15"/>
          </w:rPr>
          <w:t>https://www.gov.uk/cma-cases/cloud-services-market-investigation</w:t>
        </w:r>
      </w:hyperlink>
      <w:r>
        <w:rPr>
          <w:rFonts w:ascii="Noto Sans CJK JP" w:hAnsi="Noto Sans CJK JP" w:eastAsia="Noto Sans CJK JP" w:cs="Noto Sans CJK JP"/>
          <w:color w:val="1E2528"/>
          <w:sz w:val="16"/>
        </w:rPr>
        <w:t>;</w:t>
      </w:r>
      <w:r>
        <w:rPr>
          <w:rFonts w:ascii="Noto Sans CJK JP" w:hAnsi="Noto Sans CJK JP" w:eastAsia="Noto Sans CJK JP" w:cs="Noto Sans CJK JP"/>
          <w:color w:val="1E2528"/>
          <w:sz w:val="16"/>
        </w:rPr>
        <w:t xml:space="preserve"> </w:t>
      </w:r>
      <w:hyperlink r:id="rId85">
        <w:r>
          <w:rPr>
            <w:rFonts w:ascii="Noto Sans CJK JP" w:hAnsi="Noto Sans CJK JP" w:eastAsia="Noto Sans CJK JP" w:cs="Noto Sans CJK JP"/>
            <w:color w:val="234C61"/>
            <w:u w:val="single"/>
            <w:sz w:val="15"/>
          </w:rPr>
          <w:t>https://www.gov.uk/government/publications/business-software-and-cloud-services</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[SRC-ENISA-TL25] </w:t>
      </w:r>
      <w:r>
        <w:rPr>
          <w:rFonts w:ascii="Noto Sans CJK JP" w:hAnsi="Noto Sans CJK JP" w:eastAsia="Noto Sans CJK JP" w:cs="Noto Sans CJK JP"/>
          <w:color w:val="1E2528"/>
          <w:sz w:val="16"/>
        </w:rPr>
        <w:t>ENISA, ENISA Threat Landscape 2025. 2025-10-01. 公式報告書。</w:t>
      </w:r>
      <w:hyperlink r:id="rId86">
        <w:r>
          <w:rPr>
            <w:rFonts w:ascii="Noto Sans CJK JP" w:hAnsi="Noto Sans CJK JP" w:eastAsia="Noto Sans CJK JP" w:cs="Noto Sans CJK JP"/>
            <w:color w:val="234C61"/>
            <w:u w:val="single"/>
            <w:sz w:val="15"/>
          </w:rPr>
          <w:t>https://www.enisa.europa.eu/publications/enisa-threat-landscape-2025</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[SRC-ENISA-FRONTIER26] </w:t>
      </w:r>
      <w:r>
        <w:rPr>
          <w:rFonts w:ascii="Noto Sans CJK JP" w:hAnsi="Noto Sans CJK JP" w:eastAsia="Noto Sans CJK JP" w:cs="Noto Sans CJK JP"/>
          <w:color w:val="1E2528"/>
          <w:sz w:val="16"/>
        </w:rPr>
        <w:t>ENISA, ENISA’s view on Cybersecurity in the Frontier AI Era. 2026-07-07. 機械並みの速度で展開する脅威に対する運用能力について初期的な勧告を示す公式報告書であり、年次Threat Landscapeに代わるものではありません。</w:t>
      </w:r>
      <w:hyperlink r:id="rId87">
        <w:r>
          <w:rPr>
            <w:rFonts w:ascii="Noto Sans CJK JP" w:hAnsi="Noto Sans CJK JP" w:eastAsia="Noto Sans CJK JP" w:cs="Noto Sans CJK JP"/>
            <w:color w:val="234C61"/>
            <w:u w:val="single"/>
            <w:sz w:val="15"/>
          </w:rPr>
          <w:t>https://www.enisa.europa.eu/publications/enisas-view-on-cybersecurity-in-the-frontier-ai-era</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[SRC-UN-CYBER] </w:t>
      </w:r>
      <w:r>
        <w:rPr>
          <w:rFonts w:ascii="Noto Sans CJK JP" w:hAnsi="Noto Sans CJK JP" w:eastAsia="Noto Sans CJK JP" w:cs="Noto Sans CJK JP"/>
          <w:color w:val="1E2528"/>
          <w:sz w:val="16"/>
        </w:rPr>
        <w:t>Nazioni Unite, Final substantive report of the Open-ended Working Group on developments in the field of information and telecommunications in the context of international security, A/75/816. 2021-03-18. 国連の公式報告書。</w:t>
      </w:r>
      <w:hyperlink r:id="rId88">
        <w:r>
          <w:rPr>
            <w:rFonts w:ascii="Noto Sans CJK JP" w:hAnsi="Noto Sans CJK JP" w:eastAsia="Noto Sans CJK JP" w:cs="Noto Sans CJK JP"/>
            <w:color w:val="234C61"/>
            <w:u w:val="single"/>
            <w:sz w:val="15"/>
          </w:rPr>
          <w:t>https://digitallibrary.un.org/record/3908015</w:t>
        </w:r>
      </w:hyperlink>
      <w:r>
        <w:rPr>
          <w:rFonts w:ascii="Noto Sans CJK JP" w:hAnsi="Noto Sans CJK JP" w:eastAsia="Noto Sans CJK JP" w:cs="Noto Sans CJK JP"/>
          <w:color w:val="1E2528"/>
          <w:sz w:val="16"/>
        </w:rPr>
        <w:t>.</w:t>
      </w:r>
    </w:p>
    <w:p>
      <w:pPr>
        <w:pStyle w:val="Heading1"/>
      </w:pPr>
      <w:r>
        <w:t>法、規制、公的機関のガイダンス</w:t>
      </w:r>
    </w:p>
    <w:p>
      <w:pPr>
        <w:spacing w:after="60"/>
        <w:ind w:left="173" w:hanging="173"/>
      </w:pPr>
      <w:r>
        <w:rPr>
          <w:rFonts w:ascii="Noto Sans CJK JP" w:hAnsi="Noto Sans CJK JP" w:eastAsia="Noto Sans CJK JP" w:cs="Noto Sans CJK JP"/>
          <w:b/>
          <w:color w:val="B54B2A"/>
          <w:sz w:val="15"/>
        </w:rPr>
        <w:t xml:space="preserve">[SRC-LIARS-DIVIDEND] </w:t>
      </w:r>
      <w:r>
        <w:rPr>
          <w:rFonts w:ascii="Noto Sans CJK JP" w:hAnsi="Noto Sans CJK JP" w:eastAsia="Noto Sans CJK JP" w:cs="Noto Sans CJK JP"/>
          <w:color w:val="1E2528"/>
          <w:sz w:val="16"/>
        </w:rPr>
        <w:t xml:space="preserve">Robert Chesney、Danielle Keats Citron, Deep Fakes: A Looming Challenge for Privacy, Democracy, and National Security. California Law Review, vol. 107, 2019, pp. 1753–1819. 「liar’s dividend」概念の原典。DOI 10.15779/Z38RV0D15J. </w:t>
      </w:r>
      <w:hyperlink r:id="rId89">
        <w:r>
          <w:rPr>
            <w:rFonts w:ascii="Noto Sans CJK JP" w:hAnsi="Noto Sans CJK JP" w:eastAsia="Noto Sans CJK JP" w:cs="Noto Sans CJK JP"/>
            <w:color w:val="234C61"/>
            <w:u w:val="single"/>
            <w:sz w:val="15"/>
          </w:rPr>
          <w:t>https://www.californialawreview.org/print/deep-fakes-a-looming-challenge-for-privacy-democracy-and-national-security</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[SRC-S34-001] </w:t>
      </w:r>
      <w:r>
        <w:rPr>
          <w:rFonts w:ascii="Noto Sans CJK JP" w:hAnsi="Noto Sans CJK JP" w:eastAsia="Noto Sans CJK JP" w:cs="Noto Sans CJK JP"/>
          <w:color w:val="1E2528"/>
          <w:sz w:val="16"/>
        </w:rPr>
        <w:t xml:space="preserve">Parlamento europeo e Consiglio, Regolamento (UE) 2024/1689 (AI Act). 2024-06-13. 現行法。段階的に適用されます。CELEX 32024R1689; ELI reg/2024/1689/oj. </w:t>
      </w:r>
      <w:hyperlink r:id="rId90">
        <w:r>
          <w:rPr>
            <w:rFonts w:ascii="Noto Sans CJK JP" w:hAnsi="Noto Sans CJK JP" w:eastAsia="Noto Sans CJK JP" w:cs="Noto Sans CJK JP"/>
            <w:color w:val="234C61"/>
            <w:u w:val="single"/>
            <w:sz w:val="15"/>
          </w:rPr>
          <w:t>https://eur-lex.europa.eu/eli/reg/2024/1689/oj/eng</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[SRC-S34-003] </w:t>
      </w:r>
      <w:r>
        <w:rPr>
          <w:rFonts w:ascii="Noto Sans CJK JP" w:hAnsi="Noto Sans CJK JP" w:eastAsia="Noto Sans CJK JP" w:cs="Noto Sans CJK JP"/>
          <w:color w:val="1E2528"/>
          <w:sz w:val="16"/>
        </w:rPr>
        <w:t>Commissione europea — AI Act Service Desk, AI Act — Article 50: Transparency obligations for providers and deployers of certain AI systems. Regolamento (UE) 2024/1689第50条に関する公式サービス。参照日：2026-07-17。</w:t>
      </w:r>
      <w:hyperlink r:id="rId91">
        <w:r>
          <w:rPr>
            <w:rFonts w:ascii="Noto Sans CJK JP" w:hAnsi="Noto Sans CJK JP" w:eastAsia="Noto Sans CJK JP" w:cs="Noto Sans CJK JP"/>
            <w:color w:val="234C61"/>
            <w:u w:val="single"/>
            <w:sz w:val="15"/>
          </w:rPr>
          <w:t>https://ai-act-service-desk.ec.europa.eu/en/ai-act/article-50</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[SRC-S34-004] </w:t>
      </w:r>
      <w:r>
        <w:rPr>
          <w:rFonts w:ascii="Noto Sans CJK JP" w:hAnsi="Noto Sans CJK JP" w:eastAsia="Noto Sans CJK JP" w:cs="Noto Sans CJK JP"/>
          <w:color w:val="1E2528"/>
          <w:sz w:val="16"/>
        </w:rPr>
        <w:t>Commissione europea — AI Act Service Desk, AI Act — Article 53: Obligations for providers of general-purpose AI models. Regolamento (UE) 2024/1689第53条に関する公式サービス。参照日：2026-07-17。</w:t>
      </w:r>
      <w:hyperlink r:id="rId92">
        <w:r>
          <w:rPr>
            <w:rFonts w:ascii="Noto Sans CJK JP" w:hAnsi="Noto Sans CJK JP" w:eastAsia="Noto Sans CJK JP" w:cs="Noto Sans CJK JP"/>
            <w:color w:val="234C61"/>
            <w:u w:val="single"/>
            <w:sz w:val="15"/>
          </w:rPr>
          <w:t>https://ai-act-service-desk.ec.europa.eu/en/ai-act/article-53</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[SRC-S34-005] </w:t>
      </w:r>
      <w:r>
        <w:rPr>
          <w:rFonts w:ascii="Noto Sans CJK JP" w:hAnsi="Noto Sans CJK JP" w:eastAsia="Noto Sans CJK JP" w:cs="Noto Sans CJK JP"/>
          <w:color w:val="1E2528"/>
          <w:sz w:val="16"/>
        </w:rPr>
        <w:t xml:space="preserve">Parlamento europeo e Consiglio, Regolamento (UE) 2016/679 (GDPR). 2016-04-27. 現行法。CELEX 32016R0679; ELI reg/2016/679/oj. </w:t>
      </w:r>
      <w:hyperlink r:id="rId93">
        <w:r>
          <w:rPr>
            <w:rFonts w:ascii="Noto Sans CJK JP" w:hAnsi="Noto Sans CJK JP" w:eastAsia="Noto Sans CJK JP" w:cs="Noto Sans CJK JP"/>
            <w:color w:val="234C61"/>
            <w:u w:val="single"/>
            <w:sz w:val="15"/>
          </w:rPr>
          <w:t>https://eur-lex.europa.eu/eli/reg/2016/679/oj/eng</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[SRC-S34-006] </w:t>
      </w:r>
      <w:r>
        <w:rPr>
          <w:rFonts w:ascii="Noto Sans CJK JP" w:hAnsi="Noto Sans CJK JP" w:eastAsia="Noto Sans CJK JP" w:cs="Noto Sans CJK JP"/>
          <w:color w:val="1E2528"/>
          <w:sz w:val="16"/>
        </w:rPr>
        <w:t>Article 29 Data Protection Working Party, Guidelines on Automated individual decision-making and Profiling for the purposes of Regulation 2016/679, WP251 rev.01. 2018-05-25にEuropean Data Protection Boardが承認。公式の解釈ガイドラインであり、法令ではありません。</w:t>
      </w:r>
      <w:hyperlink r:id="rId94">
        <w:r>
          <w:rPr>
            <w:rFonts w:ascii="Noto Sans CJK JP" w:hAnsi="Noto Sans CJK JP" w:eastAsia="Noto Sans CJK JP" w:cs="Noto Sans CJK JP"/>
            <w:color w:val="234C61"/>
            <w:u w:val="single"/>
            <w:sz w:val="15"/>
          </w:rPr>
          <w:t>https://www.edpb.europa.eu/documents/guideline/automated-decision-making-and-profiling_en</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[SRC-S34-007] </w:t>
      </w:r>
      <w:r>
        <w:rPr>
          <w:rFonts w:ascii="Noto Sans CJK JP" w:hAnsi="Noto Sans CJK JP" w:eastAsia="Noto Sans CJK JP" w:cs="Noto Sans CJK JP"/>
          <w:color w:val="1E2528"/>
          <w:sz w:val="16"/>
        </w:rPr>
        <w:t xml:space="preserve">Corte di giustizia dell’Unione europea, SCHUFA Holding (Scoring), C-634/21. 2023-12-07. EU法の解釈において拘束力をもつ判例。ECLI:EU:C:2023:957. </w:t>
      </w:r>
      <w:hyperlink r:id="rId95">
        <w:r>
          <w:rPr>
            <w:rFonts w:ascii="Noto Sans CJK JP" w:hAnsi="Noto Sans CJK JP" w:eastAsia="Noto Sans CJK JP" w:cs="Noto Sans CJK JP"/>
            <w:color w:val="234C61"/>
            <w:u w:val="single"/>
            <w:sz w:val="15"/>
          </w:rPr>
          <w:t>https://infocuria.curia.europa.eu/tabs/redirect/juris/document/document.jsf?docid=280426&amp;doclang=en</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[SRC-S34-008] </w:t>
      </w:r>
      <w:r>
        <w:rPr>
          <w:rFonts w:ascii="Noto Sans CJK JP" w:hAnsi="Noto Sans CJK JP" w:eastAsia="Noto Sans CJK JP" w:cs="Noto Sans CJK JP"/>
          <w:color w:val="1E2528"/>
          <w:sz w:val="16"/>
        </w:rPr>
        <w:t xml:space="preserve">Parlamento europeo e Consiglio, Regolamento (UE) 2024/1183 che istituisce il quadro europeo relativo a un’identità digitale. 2024-04-11. 現行法。CELEX 32024R1183; ELI reg/2024/1183/oj. </w:t>
      </w:r>
      <w:hyperlink r:id="rId96">
        <w:r>
          <w:rPr>
            <w:rFonts w:ascii="Noto Sans CJK JP" w:hAnsi="Noto Sans CJK JP" w:eastAsia="Noto Sans CJK JP" w:cs="Noto Sans CJK JP"/>
            <w:color w:val="234C61"/>
            <w:u w:val="single"/>
            <w:sz w:val="15"/>
          </w:rPr>
          <w:t>https://eur-lex.europa.eu/eli/reg/2024/1183/oj/eng</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[SRC-S34-009] </w:t>
      </w:r>
      <w:r>
        <w:rPr>
          <w:rFonts w:ascii="Noto Sans CJK JP" w:hAnsi="Noto Sans CJK JP" w:eastAsia="Noto Sans CJK JP" w:cs="Noto Sans CJK JP"/>
          <w:color w:val="1E2528"/>
          <w:sz w:val="16"/>
        </w:rPr>
        <w:t>Commissione europea, European Digital Identity Wallet implementation. ページ更新日：2026-06-22。枠組みでは、加盟国のウォレットを2026年末までに提供することが予定されています。Architecture and Reference Frameworkの公式リポジトリでは、2026-05-21付のv2.9.0が現行リリースとされています。機関ページおよび技術仕様。参照日：2026-07-17。</w:t>
      </w:r>
      <w:hyperlink r:id="rId97">
        <w:r>
          <w:rPr>
            <w:rFonts w:ascii="Noto Sans CJK JP" w:hAnsi="Noto Sans CJK JP" w:eastAsia="Noto Sans CJK JP" w:cs="Noto Sans CJK JP"/>
            <w:color w:val="234C61"/>
            <w:u w:val="single"/>
            <w:sz w:val="15"/>
          </w:rPr>
          <w:t>https://digital-strategy.ec.europa.eu/en/policies/eudi-wallet-implementation</w:t>
        </w:r>
      </w:hyperlink>
      <w:r>
        <w:rPr>
          <w:rFonts w:ascii="Noto Sans CJK JP" w:hAnsi="Noto Sans CJK JP" w:eastAsia="Noto Sans CJK JP" w:cs="Noto Sans CJK JP"/>
          <w:color w:val="1E2528"/>
          <w:sz w:val="16"/>
        </w:rPr>
        <w:t>;</w:t>
      </w:r>
      <w:r>
        <w:rPr>
          <w:rFonts w:ascii="Noto Sans CJK JP" w:hAnsi="Noto Sans CJK JP" w:eastAsia="Noto Sans CJK JP" w:cs="Noto Sans CJK JP"/>
          <w:color w:val="1E2528"/>
          <w:sz w:val="16"/>
        </w:rPr>
        <w:t xml:space="preserve"> </w:t>
      </w:r>
      <w:hyperlink r:id="rId98">
        <w:r>
          <w:rPr>
            <w:rFonts w:ascii="Noto Sans CJK JP" w:hAnsi="Noto Sans CJK JP" w:eastAsia="Noto Sans CJK JP" w:cs="Noto Sans CJK JP"/>
            <w:color w:val="234C61"/>
            <w:u w:val="single"/>
            <w:sz w:val="15"/>
          </w:rPr>
          <w:t>https://github.com/eu-digital-identity-wallet/eudi-doc-architecture-and-reference-framework/releases/tag/v2.9.0</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[SRC-S34-010] </w:t>
      </w:r>
      <w:r>
        <w:rPr>
          <w:rFonts w:ascii="Noto Sans CJK JP" w:hAnsi="Noto Sans CJK JP" w:eastAsia="Noto Sans CJK JP" w:cs="Noto Sans CJK JP"/>
          <w:color w:val="1E2528"/>
          <w:sz w:val="16"/>
        </w:rPr>
        <w:t xml:space="preserve">Parlamento europeo e Consiglio, Regolamento (UE) 2022/2065 sui servizi digitali (DSA). 2022-10-19. 現行法。CELEX 32022R2065; ELI reg/2022/2065/oj. </w:t>
      </w:r>
      <w:hyperlink r:id="rId99">
        <w:r>
          <w:rPr>
            <w:rFonts w:ascii="Noto Sans CJK JP" w:hAnsi="Noto Sans CJK JP" w:eastAsia="Noto Sans CJK JP" w:cs="Noto Sans CJK JP"/>
            <w:color w:val="234C61"/>
            <w:u w:val="single"/>
            <w:sz w:val="15"/>
          </w:rPr>
          <w:t>https://eur-lex.europa.eu/eli/reg/2022/2065/oj/eng</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[SRC-S34-011] </w:t>
      </w:r>
      <w:r>
        <w:rPr>
          <w:rFonts w:ascii="Noto Sans CJK JP" w:hAnsi="Noto Sans CJK JP" w:eastAsia="Noto Sans CJK JP" w:cs="Noto Sans CJK JP"/>
          <w:color w:val="1E2528"/>
          <w:sz w:val="16"/>
        </w:rPr>
        <w:t>Commissione europea — AI Act Service Desk, AI Act — Article 5: Prohibited AI practices. Regolamento (UE) 2024/1689第5条に関する公式サービス。参照日：2026-07-14。</w:t>
      </w:r>
      <w:hyperlink r:id="rId100">
        <w:r>
          <w:rPr>
            <w:rFonts w:ascii="Noto Sans CJK JP" w:hAnsi="Noto Sans CJK JP" w:eastAsia="Noto Sans CJK JP" w:cs="Noto Sans CJK JP"/>
            <w:color w:val="234C61"/>
            <w:u w:val="single"/>
            <w:sz w:val="15"/>
          </w:rPr>
          <w:t>https://ai-act-service-desk.ec.europa.eu/en/ai-act/article-5</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[SRC-S34-012] </w:t>
      </w:r>
      <w:r>
        <w:rPr>
          <w:rFonts w:ascii="Noto Sans CJK JP" w:hAnsi="Noto Sans CJK JP" w:eastAsia="Noto Sans CJK JP" w:cs="Noto Sans CJK JP"/>
          <w:color w:val="1E2528"/>
          <w:sz w:val="16"/>
        </w:rPr>
        <w:t xml:space="preserve">Parlamento europeo e Consiglio, Direttiva (UE) 2024/2831 relativa al miglioramento delle condizioni di lavoro nel lavoro mediante piattaforme digitali. 2024-10-23. 国内法化を要するEU法で、適用分野は限定されています。CELEX 32024L2831; ELI dir/2024/2831/oj. </w:t>
      </w:r>
      <w:hyperlink r:id="rId101">
        <w:r>
          <w:rPr>
            <w:rFonts w:ascii="Noto Sans CJK JP" w:hAnsi="Noto Sans CJK JP" w:eastAsia="Noto Sans CJK JP" w:cs="Noto Sans CJK JP"/>
            <w:color w:val="234C61"/>
            <w:u w:val="single"/>
            <w:sz w:val="15"/>
          </w:rPr>
          <w:t>https://eur-lex.europa.eu/eli/dir/2024/2831/oj/eng</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[SRC-S34-013] </w:t>
      </w:r>
      <w:r>
        <w:rPr>
          <w:rFonts w:ascii="Noto Sans CJK JP" w:hAnsi="Noto Sans CJK JP" w:eastAsia="Noto Sans CJK JP" w:cs="Noto Sans CJK JP"/>
          <w:color w:val="1E2528"/>
          <w:sz w:val="16"/>
        </w:rPr>
        <w:t xml:space="preserve">Parlamento europeo e Consiglio, Direttiva (UE) 2019/790 sul diritto d’autore nel mercato unico digitale. 2019-04-17. 国ごとの差異を伴って国内法化されたEU法。CELEX 32019L0790; ELI dir/2019/790/oj. </w:t>
      </w:r>
      <w:hyperlink r:id="rId102">
        <w:r>
          <w:rPr>
            <w:rFonts w:ascii="Noto Sans CJK JP" w:hAnsi="Noto Sans CJK JP" w:eastAsia="Noto Sans CJK JP" w:cs="Noto Sans CJK JP"/>
            <w:color w:val="234C61"/>
            <w:u w:val="single"/>
            <w:sz w:val="15"/>
          </w:rPr>
          <w:t>https://eur-lex.europa.eu/eli/dir/2019/790/oj/eng</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[SRC-S34-020] </w:t>
      </w:r>
      <w:r>
        <w:rPr>
          <w:rFonts w:ascii="Noto Sans CJK JP" w:hAnsi="Noto Sans CJK JP" w:eastAsia="Noto Sans CJK JP" w:cs="Noto Sans CJK JP"/>
          <w:color w:val="1E2528"/>
          <w:sz w:val="16"/>
        </w:rPr>
        <w:t>Commissione europea, Code of Practice on Transparency of AI-Generated Content. 最終版の公表日：2026-06-10；適切性に関するCommission Opinionは2026年七月8日、AI Boardの評価は2026年七月9日。AI Act第50条の実施を支援する任意の手段であり、参加しても順守の決定的な証明にはなりません。</w:t>
      </w:r>
      <w:hyperlink r:id="rId103">
        <w:r>
          <w:rPr>
            <w:rFonts w:ascii="Noto Sans CJK JP" w:hAnsi="Noto Sans CJK JP" w:eastAsia="Noto Sans CJK JP" w:cs="Noto Sans CJK JP"/>
            <w:color w:val="234C61"/>
            <w:u w:val="single"/>
            <w:sz w:val="15"/>
          </w:rPr>
          <w:t>https://digital-strategy.ec.europa.eu/en/news/commission-publishes-code-practice-marking-and-labelling-ai-generated-content</w:t>
        </w:r>
      </w:hyperlink>
      <w:r>
        <w:rPr>
          <w:rFonts w:ascii="Noto Sans CJK JP" w:hAnsi="Noto Sans CJK JP" w:eastAsia="Noto Sans CJK JP" w:cs="Noto Sans CJK JP"/>
          <w:color w:val="1E2528"/>
          <w:sz w:val="16"/>
        </w:rPr>
        <w:t>;</w:t>
      </w:r>
      <w:r>
        <w:rPr>
          <w:rFonts w:ascii="Noto Sans CJK JP" w:hAnsi="Noto Sans CJK JP" w:eastAsia="Noto Sans CJK JP" w:cs="Noto Sans CJK JP"/>
          <w:color w:val="1E2528"/>
          <w:sz w:val="16"/>
        </w:rPr>
        <w:t xml:space="preserve"> </w:t>
      </w:r>
      <w:hyperlink r:id="rId104">
        <w:r>
          <w:rPr>
            <w:rFonts w:ascii="Noto Sans CJK JP" w:hAnsi="Noto Sans CJK JP" w:eastAsia="Noto Sans CJK JP" w:cs="Noto Sans CJK JP"/>
            <w:color w:val="234C61"/>
            <w:u w:val="single"/>
            <w:sz w:val="15"/>
          </w:rPr>
          <w:t>https://digital-strategy.ec.europa.eu/en/library/commission-opinion-assessment-code-practice-transparency-ai-generated-content</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[SRC-S34-021] </w:t>
      </w:r>
      <w:r>
        <w:rPr>
          <w:rFonts w:ascii="Noto Sans CJK JP" w:hAnsi="Noto Sans CJK JP" w:eastAsia="Noto Sans CJK JP" w:cs="Noto Sans CJK JP"/>
          <w:color w:val="1E2528"/>
          <w:sz w:val="16"/>
        </w:rPr>
        <w:t>Commissione europea, General-Purpose AI Code of Practice. 最終版の公表日：2025-07-10。適合を支援する任意の仕組み。GPAIに関する義務は2025-08-02から適用され、AI Officeによる執行は新規モデルについて2026-08-02から、既存モデルについて2027-08-02から始まります。参照日：2026-07-17。</w:t>
      </w:r>
      <w:hyperlink r:id="rId105">
        <w:r>
          <w:rPr>
            <w:rFonts w:ascii="Noto Sans CJK JP" w:hAnsi="Noto Sans CJK JP" w:eastAsia="Noto Sans CJK JP" w:cs="Noto Sans CJK JP"/>
            <w:color w:val="234C61"/>
            <w:u w:val="single"/>
            <w:sz w:val="15"/>
          </w:rPr>
          <w:t>https://digital-strategy.ec.europa.eu/en/news/general-purpose-ai-code-practice-now-available</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[SRC-S34-015] </w:t>
      </w:r>
      <w:r>
        <w:rPr>
          <w:rFonts w:ascii="Noto Sans CJK JP" w:hAnsi="Noto Sans CJK JP" w:eastAsia="Noto Sans CJK JP" w:cs="Noto Sans CJK JP"/>
          <w:color w:val="1E2528"/>
          <w:sz w:val="16"/>
        </w:rPr>
        <w:t xml:space="preserve">Parlamento europeo e Consiglio, Regolamento (UE) 2017/745 relativo ai dispositivi medici. 2017-04-05. 現行法。CELEX 32017R0745; ELI reg/2017/745/oj. </w:t>
      </w:r>
      <w:hyperlink r:id="rId106">
        <w:r>
          <w:rPr>
            <w:rFonts w:ascii="Noto Sans CJK JP" w:hAnsi="Noto Sans CJK JP" w:eastAsia="Noto Sans CJK JP" w:cs="Noto Sans CJK JP"/>
            <w:color w:val="234C61"/>
            <w:u w:val="single"/>
            <w:sz w:val="15"/>
          </w:rPr>
          <w:t>https://eur-lex.europa.eu/eli/reg/2017/745/oj/eng</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[SRC-S34-016] </w:t>
      </w:r>
      <w:r>
        <w:rPr>
          <w:rFonts w:ascii="Noto Sans CJK JP" w:hAnsi="Noto Sans CJK JP" w:eastAsia="Noto Sans CJK JP" w:cs="Noto Sans CJK JP"/>
          <w:color w:val="1E2528"/>
          <w:sz w:val="16"/>
        </w:rPr>
        <w:t xml:space="preserve">Parlamento europeo e Consiglio, Regolamento (UE) 2017/746 relativo ai dispositivi medico-diagnostici in vitro. 2017-04-05. 現行法。CELEX 32017R0746; ELI reg/2017/746/oj. </w:t>
      </w:r>
      <w:hyperlink r:id="rId107">
        <w:r>
          <w:rPr>
            <w:rFonts w:ascii="Noto Sans CJK JP" w:hAnsi="Noto Sans CJK JP" w:eastAsia="Noto Sans CJK JP" w:cs="Noto Sans CJK JP"/>
            <w:color w:val="234C61"/>
            <w:u w:val="single"/>
            <w:sz w:val="15"/>
          </w:rPr>
          <w:t>https://eur-lex.europa.eu/eli/reg/2017/746/oj/eng</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[SRC-S34-017] </w:t>
      </w:r>
      <w:r>
        <w:rPr>
          <w:rFonts w:ascii="Noto Sans CJK JP" w:hAnsi="Noto Sans CJK JP" w:eastAsia="Noto Sans CJK JP" w:cs="Noto Sans CJK JP"/>
          <w:color w:val="1E2528"/>
          <w:sz w:val="16"/>
        </w:rPr>
        <w:t>European Data Protection Board, Guidelines 05/2022 on the use of facial recognition technology in the area of law enforcement. 最終版2.0、2023-05-17。公式の解釈ガイドラインであり、法律ではありません。</w:t>
      </w:r>
      <w:hyperlink r:id="rId108">
        <w:r>
          <w:rPr>
            <w:rFonts w:ascii="Noto Sans CJK JP" w:hAnsi="Noto Sans CJK JP" w:eastAsia="Noto Sans CJK JP" w:cs="Noto Sans CJK JP"/>
            <w:color w:val="234C61"/>
            <w:u w:val="single"/>
            <w:sz w:val="15"/>
          </w:rPr>
          <w:t>https://www.edpb.europa.eu/system/files/2023-05/edpb_guidelines_202304_frtlawenforcement_v2_en.pdf</w:t>
        </w:r>
      </w:hyperlink>
      <w:r>
        <w:rPr>
          <w:rFonts w:ascii="Noto Sans CJK JP" w:hAnsi="Noto Sans CJK JP" w:eastAsia="Noto Sans CJK JP" w:cs="Noto Sans CJK JP"/>
          <w:color w:val="1E2528"/>
          <w:sz w:val="16"/>
        </w:rPr>
        <w:t>.</w:t>
      </w:r>
    </w:p>
    <w:p>
      <w:pPr>
        <w:spacing w:after="60"/>
        <w:ind w:left="173" w:hanging="173"/>
      </w:pPr>
      <w:r>
        <w:rPr>
          <w:rFonts w:ascii="Noto Sans CJK JP" w:hAnsi="Noto Sans CJK JP" w:eastAsia="Noto Sans CJK JP" w:cs="Noto Sans CJK JP"/>
          <w:b/>
          <w:color w:val="B54B2A"/>
          <w:sz w:val="15"/>
        </w:rPr>
        <w:t xml:space="preserve">[SRC-S34-018] </w:t>
      </w:r>
      <w:r>
        <w:rPr>
          <w:rFonts w:ascii="Noto Sans CJK JP" w:hAnsi="Noto Sans CJK JP" w:eastAsia="Noto Sans CJK JP" w:cs="Noto Sans CJK JP"/>
          <w:color w:val="1E2528"/>
          <w:sz w:val="16"/>
        </w:rPr>
        <w:t>Garante per la protezione dei dati personali, Eredità digitale e art. 2-terdecies del Codice privacy. 機関ガイドライン。法的根拠：d.lgs. 196/2003, art. 2-terdecies。参照日：2026-07-14。</w:t>
      </w:r>
      <w:hyperlink r:id="rId109">
        <w:r>
          <w:rPr>
            <w:rFonts w:ascii="Noto Sans CJK JP" w:hAnsi="Noto Sans CJK JP" w:eastAsia="Noto Sans CJK JP" w:cs="Noto Sans CJK JP"/>
            <w:color w:val="234C61"/>
            <w:u w:val="single"/>
            <w:sz w:val="15"/>
          </w:rPr>
          <w:t>https://www.garanteprivacy.it/temi/internet-e-nuove-tecnologie/eredita-digitale</w:t>
        </w:r>
      </w:hyperlink>
      <w:r>
        <w:rPr>
          <w:rFonts w:ascii="Noto Sans CJK JP" w:hAnsi="Noto Sans CJK JP" w:eastAsia="Noto Sans CJK JP" w:cs="Noto Sans CJK JP"/>
          <w:color w:val="1E2528"/>
          <w:sz w:val="16"/>
        </w:rPr>
        <w:t>.</w:t>
      </w:r>
    </w:p>
    <w:p>
      <w:pPr>
        <w:pStyle w:val="Heading1"/>
      </w:pPr>
      <w:r>
        <w:t>版と更新</w:t>
      </w:r>
    </w:p>
    <w:p>
      <w:pPr>
        <w:keepLines w:val="0"/>
      </w:pPr>
      <w:r>
        <w:rPr>
          <w:rFonts w:ascii="Noto Sans CJK JP" w:hAnsi="Noto Sans CJK JP" w:eastAsia="Noto Sans CJK JP" w:cs="Noto Sans CJK JP"/>
          <w:color w:val="1E2528"/>
          <w:sz w:val="18"/>
        </w:rPr>
        <w:t>このファイルは日本語版に結び付いたアーカイブを保存します。サイト上の更新は後の版として明示し、本書が使用した資料状態を上書きしないでください。</w:t>
      </w:r>
    </w:p>
    <w:sectPr w:rsidR="00FC693F" w:rsidRPr="0006063C" w:rsidSect="00034616">
      <w:headerReference w:type="default" r:id="rId9"/>
      <w:footerReference w:type="default" r:id="rId10"/>
      <w:footerReference w:type="first" r:id="rId11"/>
      <w:headerReference w:type="even" r:id="rId110"/>
      <w:footerReference w:type="even" r:id="rId111"/>
      <w:pgSz w:w="11905" w:h="16838"/>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Noto Sans CJK JP" w:hAnsi="Noto Sans CJK JP" w:eastAsia="Noto Sans CJK JP" w:cs="Noto Sans CJK JP"/>
        <w:color w:val="5D6870"/>
        <w:sz w:val="14"/>
      </w:rPr>
      <w:t>2050 - JA-JP-R1 - A4 - 日本語版アーカイブ - 2026年7月</w:t>
    </w:r>
    <w:r>
      <w:tab/>
    </w:r>
    <w:r>
      <w:rPr>
        <w:rFonts w:ascii="Noto Sans CJK JP" w:hAnsi="Noto Sans CJK JP" w:eastAsia="Noto Sans CJK JP" w:cs="Noto Sans CJK JP"/>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CJK JP" w:hAnsi="Noto Sans CJK JP" w:eastAsia="Noto Sans CJK JP" w:cs="Noto Sans CJK JP"/>
        <w:color w:val="5D6870"/>
        <w:sz w:val="15"/>
      </w:rPr>
      <w:t>https://www.corneritaliano.com/ja/2050/resources/</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Noto Sans CJK JP" w:hAnsi="Noto Sans CJK JP" w:eastAsia="Noto Sans CJK JP" w:cs="Noto Sans CJK JP"/>
        <w:color w:val="5D6870"/>
        <w:sz w:val="14"/>
      </w:rPr>
      <w:t>2050 - JA-JP-R1 - A4 - 日本語版アーカイブ - 2026年7月</w:t>
    </w:r>
    <w:r>
      <w:tab/>
    </w:r>
    <w:r>
      <w:rPr>
        <w:rFonts w:ascii="Noto Sans CJK JP" w:hAnsi="Noto Sans CJK JP" w:eastAsia="Noto Sans CJK JP" w:cs="Noto Sans CJK JP"/>
        <w:color w:val="5D68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Noto Sans CJK JP" w:hAnsi="Noto Sans CJK JP" w:eastAsia="Noto Sans CJK JP" w:cs="Noto Sans CJK JP"/>
        <w:b/>
        <w:color w:val="B54B2A"/>
        <w:sz w:val="15"/>
      </w:rPr>
      <w:t xml:space="preserve">2050  |  公式資料  |  </w:t>
    </w:r>
    <w:r>
      <w:rPr>
        <w:rFonts w:ascii="Noto Sans CJK JP" w:hAnsi="Noto Sans CJK JP" w:eastAsia="Noto Sans CJK JP" w:cs="Noto Sans CJK JP"/>
        <w:color w:val="5D6870"/>
        <w:sz w:val="15"/>
      </w:rPr>
      <w:t>検索可能な文献資料一覧</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Noto Sans CJK JP" w:hAnsi="Noto Sans CJK JP" w:eastAsia="Noto Sans CJK JP" w:cs="Noto Sans CJK JP"/>
        <w:b/>
        <w:color w:val="B54B2A"/>
        <w:sz w:val="15"/>
      </w:rPr>
      <w:t xml:space="preserve">2050  |  公式資料  |  </w:t>
    </w:r>
    <w:r>
      <w:rPr>
        <w:rFonts w:ascii="Noto Sans CJK JP" w:hAnsi="Noto Sans CJK JP" w:eastAsia="Noto Sans CJK JP" w:cs="Noto Sans CJK JP"/>
        <w:color w:val="5D6870"/>
        <w:sz w:val="15"/>
      </w:rPr>
      <w:t>検索可能な文献資料一覧</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ja-JP"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ja-JP" w:eastAsia="ja-JP"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307" w:lineRule="auto"/>
    </w:pPr>
    <w:rPr>
      <w:rFonts w:ascii="Noto Sans CJK JP" w:hAnsi="Noto Sans CJK JP" w:eastAsia="Noto Sans CJK JP" w:cs="Noto Sans CJK JP"/>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Noto Sans CJK JP" w:hAnsi="Noto Sans CJK JP" w:eastAsia="Noto Sans CJK JP" w:cs="Noto Sans CJK JP"/>
    </w:rPr>
  </w:style>
  <w:style w:type="character" w:customStyle="1" w:styleId="HeaderChar">
    <w:name w:val="Header Char"/>
    <w:basedOn w:val="DefaultParagraphFont"/>
    <w:link w:val="Header"/>
    <w:uiPriority w:val="99"/>
    <w:rsid w:val="00E618BF"/>
    <w:rPr>
      <w:rFonts w:ascii="Noto Sans CJK JP" w:hAnsi="Noto Sans CJK JP" w:eastAsia="Noto Sans CJK JP" w:cs="Noto Sans CJK JP"/>
    </w:rPr>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Noto Sans CJK JP" w:hAnsi="Noto Sans CJK JP" w:eastAsia="Noto Sans CJK JP" w:cs="Noto Sans CJK JP"/>
    </w:rPr>
  </w:style>
  <w:style w:type="character" w:customStyle="1" w:styleId="FooterChar">
    <w:name w:val="Footer Char"/>
    <w:basedOn w:val="DefaultParagraphFont"/>
    <w:link w:val="Footer"/>
    <w:uiPriority w:val="99"/>
    <w:rsid w:val="00E618BF"/>
    <w:rPr>
      <w:rFonts w:ascii="Noto Sans CJK JP" w:hAnsi="Noto Sans CJK JP" w:eastAsia="Noto Sans CJK JP" w:cs="Noto Sans CJK JP"/>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Noto Sans CJK JP" w:hAnsi="Noto Sans CJK JP" w:eastAsia="Noto Sans CJK JP" w:cs="Noto Sans CJK JP"/>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Noto Sans CJK JP" w:hAnsi="Noto Sans CJK JP" w:eastAsia="Noto Sans CJK JP" w:cs="Noto Sans CJK JP"/>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Noto Sans CJK JP" w:hAnsi="Noto Sans CJK JP" w:eastAsia="Noto Sans CJK JP" w:cs="Noto Sans CJK JP"/>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Noto Sans CJK JP" w:hAnsi="Noto Sans CJK JP" w:eastAsia="Noto Sans CJK JP" w:cs="Noto Sans CJK JP"/>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ascii="Noto Sans CJK JP" w:hAnsi="Noto Sans CJK JP" w:eastAsia="Noto Sans CJK JP" w:cs="Noto Sans CJK JP"/>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ascii="Noto Sans CJK JP" w:hAnsi="Noto Sans CJK JP" w:eastAsia="Noto Sans CJK JP" w:cs="Noto Sans CJK JP"/>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ascii="Noto Sans CJK JP" w:hAnsi="Noto Sans CJK JP" w:eastAsia="Noto Sans CJK JP" w:cs="Noto Sans CJK JP"/>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ascii="Noto Sans CJK JP" w:hAnsi="Noto Sans CJK JP" w:eastAsia="Noto Sans CJK JP" w:cs="Noto Sans CJK JP"/>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ascii="Noto Sans CJK JP" w:hAnsi="Noto Sans CJK JP" w:eastAsia="Noto Sans CJK JP" w:cs="Noto Sans CJK JP"/>
      <w:i/>
      <w:iCs/>
      <w:color w:val="404040" w:themeColor="text1" w:themeTint="BF"/>
      <w:sz w:val="20"/>
      <w:szCs w:val="20"/>
    </w:rPr>
  </w:style>
  <w:style w:type="character" w:default="1" w:styleId="DefaultParagraphFont">
    <w:name w:val="Default Paragraph Font"/>
    <w:uiPriority w:val="1"/>
    <w:semiHidden/>
    <w:unhideWhenUsed/>
    <w:rPr>
      <w:rFonts w:ascii="Noto Sans CJK JP" w:hAnsi="Noto Sans CJK JP" w:eastAsia="Noto Sans CJK JP" w:cs="Noto Sans CJK JP"/>
    </w:rPr>
  </w:style>
  <w:style w:type="table" w:default="1" w:styleId="TableNormal">
    <w:name w:val="Normal Table"/>
    <w:uiPriority w:val="99"/>
    <w:semiHidden/>
    <w:unhideWhenUsed/>
    <w:rPr>
      <w:rFonts w:ascii="Noto Sans CJK JP" w:hAnsi="Noto Sans CJK JP" w:eastAsia="Noto Sans CJK JP" w:cs="Noto Sans CJK JP"/>
    </w:r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rPr>
      <w:rFonts w:ascii="Noto Sans CJK JP" w:hAnsi="Noto Sans CJK JP" w:eastAsia="Noto Sans CJK JP" w:cs="Noto Sans CJK JP"/>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ascii="Noto Sans CJK JP" w:hAnsi="Noto Sans CJK JP" w:eastAsia="Noto Sans CJK JP" w:cs="Noto Sans CJK JP"/>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ascii="Noto Sans CJK JP" w:hAnsi="Noto Sans CJK JP" w:eastAsia="Noto Sans CJK JP" w:cs="Noto Sans CJK JP"/>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ascii="Noto Sans CJK JP" w:hAnsi="Noto Sans CJK JP" w:eastAsia="Noto Sans CJK JP" w:cs="Noto Sans CJK JP"/>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Noto Sans CJK JP" w:hAnsi="Noto Sans CJK JP" w:eastAsia="Noto Sans CJK JP" w:cs="Noto Sans CJK JP"/>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ascii="Noto Sans CJK JP" w:hAnsi="Noto Sans CJK JP" w:eastAsia="Noto Sans CJK JP" w:cs="Noto Sans CJK JP"/>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Noto Sans CJK JP" w:hAnsi="Noto Sans CJK JP" w:eastAsia="Noto Sans CJK JP" w:cs="Noto Sans CJK JP"/>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ascii="Noto Sans CJK JP" w:hAnsi="Noto Sans CJK JP" w:eastAsia="Noto Sans CJK JP" w:cs="Noto Sans CJK JP"/>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Noto Sans CJK JP" w:hAnsi="Noto Sans CJK JP" w:eastAsia="Noto Sans CJK JP" w:cs="Noto Sans CJK JP"/>
    </w:rPr>
  </w:style>
  <w:style w:type="paragraph" w:styleId="BodyText">
    <w:name w:val="Body Text"/>
    <w:basedOn w:val="Normal"/>
    <w:link w:val="BodyTextChar"/>
    <w:uiPriority w:val="99"/>
    <w:unhideWhenUsed/>
    <w:rsid w:val="00AA1D8D"/>
    <w:pPr>
      <w:spacing w:after="120"/>
    </w:pPr>
    <w:rPr>
      <w:rFonts w:ascii="Noto Sans CJK JP" w:hAnsi="Noto Sans CJK JP" w:eastAsia="Noto Sans CJK JP" w:cs="Noto Sans CJK JP"/>
    </w:rPr>
  </w:style>
  <w:style w:type="character" w:customStyle="1" w:styleId="BodyTextChar">
    <w:name w:val="Body Text Char"/>
    <w:basedOn w:val="DefaultParagraphFont"/>
    <w:link w:val="BodyText"/>
    <w:uiPriority w:val="99"/>
    <w:rsid w:val="00AA1D8D"/>
    <w:rPr>
      <w:rFonts w:ascii="Noto Sans CJK JP" w:hAnsi="Noto Sans CJK JP" w:eastAsia="Noto Sans CJK JP" w:cs="Noto Sans CJK JP"/>
    </w:rPr>
  </w:style>
  <w:style w:type="paragraph" w:styleId="BodyText2">
    <w:name w:val="Body Text 2"/>
    <w:basedOn w:val="Normal"/>
    <w:link w:val="BodyText2Char"/>
    <w:uiPriority w:val="99"/>
    <w:unhideWhenUsed/>
    <w:rsid w:val="00AA1D8D"/>
    <w:pPr>
      <w:spacing w:after="120" w:line="480" w:lineRule="auto"/>
    </w:pPr>
    <w:rPr>
      <w:rFonts w:ascii="Noto Sans CJK JP" w:hAnsi="Noto Sans CJK JP" w:eastAsia="Noto Sans CJK JP" w:cs="Noto Sans CJK JP"/>
    </w:rPr>
  </w:style>
  <w:style w:type="character" w:customStyle="1" w:styleId="BodyText2Char">
    <w:name w:val="Body Text 2 Char"/>
    <w:basedOn w:val="DefaultParagraphFont"/>
    <w:link w:val="BodyText2"/>
    <w:uiPriority w:val="99"/>
    <w:rsid w:val="00AA1D8D"/>
    <w:rPr>
      <w:rFonts w:ascii="Noto Sans CJK JP" w:hAnsi="Noto Sans CJK JP" w:eastAsia="Noto Sans CJK JP" w:cs="Noto Sans CJK JP"/>
    </w:rPr>
  </w:style>
  <w:style w:type="paragraph" w:styleId="BodyText3">
    <w:name w:val="Body Text 3"/>
    <w:basedOn w:val="Normal"/>
    <w:link w:val="BodyText3Char"/>
    <w:uiPriority w:val="99"/>
    <w:unhideWhenUsed/>
    <w:rsid w:val="00AA1D8D"/>
    <w:pPr>
      <w:spacing w:after="120"/>
    </w:pPr>
    <w:rPr>
      <w:rFonts w:ascii="Noto Sans CJK JP" w:hAnsi="Noto Sans CJK JP" w:eastAsia="Noto Sans CJK JP" w:cs="Noto Sans CJK JP"/>
      <w:sz w:val="16"/>
      <w:szCs w:val="16"/>
    </w:rPr>
  </w:style>
  <w:style w:type="character" w:customStyle="1" w:styleId="BodyText3Char">
    <w:name w:val="Body Text 3 Char"/>
    <w:basedOn w:val="DefaultParagraphFont"/>
    <w:link w:val="BodyText3"/>
    <w:uiPriority w:val="99"/>
    <w:rsid w:val="00AA1D8D"/>
    <w:rPr>
      <w:rFonts w:ascii="Noto Sans CJK JP" w:hAnsi="Noto Sans CJK JP" w:eastAsia="Noto Sans CJK JP" w:cs="Noto Sans CJK JP"/>
      <w:sz w:val="16"/>
      <w:szCs w:val="16"/>
    </w:rPr>
  </w:style>
  <w:style w:type="paragraph" w:styleId="List">
    <w:name w:val="List"/>
    <w:basedOn w:val="Normal"/>
    <w:uiPriority w:val="99"/>
    <w:unhideWhenUsed/>
    <w:rsid w:val="00AA1D8D"/>
    <w:pPr>
      <w:ind w:left="360" w:hanging="360"/>
      <w:contextualSpacing/>
    </w:pPr>
    <w:rPr>
      <w:rFonts w:ascii="Noto Sans CJK JP" w:hAnsi="Noto Sans CJK JP" w:eastAsia="Noto Sans CJK JP" w:cs="Noto Sans CJK JP"/>
    </w:rPr>
  </w:style>
  <w:style w:type="paragraph" w:styleId="List2">
    <w:name w:val="List 2"/>
    <w:basedOn w:val="Normal"/>
    <w:uiPriority w:val="99"/>
    <w:unhideWhenUsed/>
    <w:rsid w:val="00326F90"/>
    <w:pPr>
      <w:ind w:left="720" w:hanging="360"/>
      <w:contextualSpacing/>
    </w:pPr>
    <w:rPr>
      <w:rFonts w:ascii="Noto Sans CJK JP" w:hAnsi="Noto Sans CJK JP" w:eastAsia="Noto Sans CJK JP" w:cs="Noto Sans CJK JP"/>
    </w:rPr>
  </w:style>
  <w:style w:type="paragraph" w:styleId="List3">
    <w:name w:val="List 3"/>
    <w:basedOn w:val="Normal"/>
    <w:uiPriority w:val="99"/>
    <w:unhideWhenUsed/>
    <w:rsid w:val="00326F90"/>
    <w:pPr>
      <w:ind w:left="1080" w:hanging="360"/>
      <w:contextualSpacing/>
    </w:pPr>
    <w:rPr>
      <w:rFonts w:ascii="Noto Sans CJK JP" w:hAnsi="Noto Sans CJK JP" w:eastAsia="Noto Sans CJK JP" w:cs="Noto Sans CJK JP"/>
    </w:rPr>
  </w:style>
  <w:style w:type="paragraph" w:styleId="ListBullet">
    <w:name w:val="List Bullet"/>
    <w:basedOn w:val="Normal"/>
    <w:uiPriority w:val="99"/>
    <w:unhideWhenUsed/>
    <w:rsid w:val="00326F90"/>
    <w:pPr>
      <w:numPr>
        <w:numId w:val="1"/>
      </w:numPr>
      <w:contextualSpacing/>
    </w:pPr>
    <w:rPr>
      <w:rFonts w:ascii="Noto Sans CJK JP" w:hAnsi="Noto Sans CJK JP" w:eastAsia="Noto Sans CJK JP" w:cs="Noto Sans CJK JP"/>
    </w:rPr>
  </w:style>
  <w:style w:type="paragraph" w:styleId="ListBullet2">
    <w:name w:val="List Bullet 2"/>
    <w:basedOn w:val="Normal"/>
    <w:uiPriority w:val="99"/>
    <w:unhideWhenUsed/>
    <w:rsid w:val="00326F90"/>
    <w:pPr>
      <w:numPr>
        <w:numId w:val="2"/>
      </w:numPr>
      <w:contextualSpacing/>
    </w:pPr>
    <w:rPr>
      <w:rFonts w:ascii="Noto Sans CJK JP" w:hAnsi="Noto Sans CJK JP" w:eastAsia="Noto Sans CJK JP" w:cs="Noto Sans CJK JP"/>
    </w:rPr>
  </w:style>
  <w:style w:type="paragraph" w:styleId="ListBullet3">
    <w:name w:val="List Bullet 3"/>
    <w:basedOn w:val="Normal"/>
    <w:uiPriority w:val="99"/>
    <w:unhideWhenUsed/>
    <w:rsid w:val="00326F90"/>
    <w:pPr>
      <w:numPr>
        <w:numId w:val="3"/>
      </w:numPr>
      <w:contextualSpacing/>
    </w:pPr>
    <w:rPr>
      <w:rFonts w:ascii="Noto Sans CJK JP" w:hAnsi="Noto Sans CJK JP" w:eastAsia="Noto Sans CJK JP" w:cs="Noto Sans CJK JP"/>
    </w:rPr>
  </w:style>
  <w:style w:type="paragraph" w:styleId="ListNumber">
    <w:name w:val="List Number"/>
    <w:basedOn w:val="Normal"/>
    <w:uiPriority w:val="99"/>
    <w:unhideWhenUsed/>
    <w:rsid w:val="00326F90"/>
    <w:pPr>
      <w:numPr>
        <w:numId w:val="5"/>
      </w:numPr>
      <w:contextualSpacing/>
    </w:pPr>
    <w:rPr>
      <w:rFonts w:ascii="Noto Sans CJK JP" w:hAnsi="Noto Sans CJK JP" w:eastAsia="Noto Sans CJK JP" w:cs="Noto Sans CJK JP"/>
    </w:rPr>
  </w:style>
  <w:style w:type="paragraph" w:styleId="ListNumber2">
    <w:name w:val="List Number 2"/>
    <w:basedOn w:val="Normal"/>
    <w:uiPriority w:val="99"/>
    <w:unhideWhenUsed/>
    <w:rsid w:val="0029639D"/>
    <w:pPr>
      <w:numPr>
        <w:numId w:val="6"/>
      </w:numPr>
      <w:contextualSpacing/>
    </w:pPr>
    <w:rPr>
      <w:rFonts w:ascii="Noto Sans CJK JP" w:hAnsi="Noto Sans CJK JP" w:eastAsia="Noto Sans CJK JP" w:cs="Noto Sans CJK JP"/>
    </w:rPr>
  </w:style>
  <w:style w:type="paragraph" w:styleId="ListNumber3">
    <w:name w:val="List Number 3"/>
    <w:basedOn w:val="Normal"/>
    <w:uiPriority w:val="99"/>
    <w:unhideWhenUsed/>
    <w:rsid w:val="0029639D"/>
    <w:pPr>
      <w:numPr>
        <w:numId w:val="7"/>
      </w:numPr>
      <w:contextualSpacing/>
    </w:pPr>
    <w:rPr>
      <w:rFonts w:ascii="Noto Sans CJK JP" w:hAnsi="Noto Sans CJK JP" w:eastAsia="Noto Sans CJK JP" w:cs="Noto Sans CJK JP"/>
    </w:rPr>
  </w:style>
  <w:style w:type="paragraph" w:styleId="ListContinue">
    <w:name w:val="List Continue"/>
    <w:basedOn w:val="Normal"/>
    <w:uiPriority w:val="99"/>
    <w:unhideWhenUsed/>
    <w:rsid w:val="0029639D"/>
    <w:pPr>
      <w:spacing w:after="120"/>
      <w:ind w:left="360"/>
      <w:contextualSpacing/>
    </w:pPr>
    <w:rPr>
      <w:rFonts w:ascii="Noto Sans CJK JP" w:hAnsi="Noto Sans CJK JP" w:eastAsia="Noto Sans CJK JP" w:cs="Noto Sans CJK JP"/>
    </w:rPr>
  </w:style>
  <w:style w:type="paragraph" w:styleId="ListContinue2">
    <w:name w:val="List Continue 2"/>
    <w:basedOn w:val="Normal"/>
    <w:uiPriority w:val="99"/>
    <w:unhideWhenUsed/>
    <w:rsid w:val="0029639D"/>
    <w:pPr>
      <w:spacing w:after="120"/>
      <w:ind w:left="720"/>
      <w:contextualSpacing/>
    </w:pPr>
    <w:rPr>
      <w:rFonts w:ascii="Noto Sans CJK JP" w:hAnsi="Noto Sans CJK JP" w:eastAsia="Noto Sans CJK JP" w:cs="Noto Sans CJK JP"/>
    </w:rPr>
  </w:style>
  <w:style w:type="paragraph" w:styleId="ListContinue3">
    <w:name w:val="List Continue 3"/>
    <w:basedOn w:val="Normal"/>
    <w:uiPriority w:val="99"/>
    <w:unhideWhenUsed/>
    <w:rsid w:val="0029639D"/>
    <w:pPr>
      <w:spacing w:after="120"/>
      <w:ind w:left="1080"/>
      <w:contextualSpacing/>
    </w:pPr>
    <w:rPr>
      <w:rFonts w:ascii="Noto Sans CJK JP" w:hAnsi="Noto Sans CJK JP" w:eastAsia="Noto Sans CJK JP" w:cs="Noto Sans CJK JP"/>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Noto Sans CJK JP" w:hAnsi="Noto Sans CJK JP" w:eastAsia="Noto Sans CJK JP" w:cs="Noto Sans CJK JP"/>
      <w:sz w:val="20"/>
      <w:szCs w:val="20"/>
    </w:rPr>
  </w:style>
  <w:style w:type="character" w:customStyle="1" w:styleId="MacroTextChar">
    <w:name w:val="Macro Text Char"/>
    <w:basedOn w:val="DefaultParagraphFont"/>
    <w:link w:val="MacroText"/>
    <w:uiPriority w:val="99"/>
    <w:rsid w:val="0029639D"/>
    <w:rPr>
      <w:rFonts w:ascii="Noto Sans CJK JP" w:hAnsi="Noto Sans CJK JP" w:eastAsia="Noto Sans CJK JP" w:cs="Noto Sans CJK JP"/>
      <w:sz w:val="20"/>
      <w:szCs w:val="20"/>
    </w:rPr>
  </w:style>
  <w:style w:type="paragraph" w:styleId="Quote">
    <w:name w:val="Quote"/>
    <w:basedOn w:val="Normal"/>
    <w:next w:val="Normal"/>
    <w:link w:val="QuoteChar"/>
    <w:uiPriority w:val="29"/>
    <w:qFormat/>
    <w:rsid w:val="00FC693F"/>
    <w:rPr>
      <w:rFonts w:ascii="Noto Sans CJK JP" w:hAnsi="Noto Sans CJK JP" w:eastAsia="Noto Sans CJK JP" w:cs="Noto Sans CJK JP"/>
      <w:i/>
      <w:iCs/>
      <w:color w:val="000000" w:themeColor="text1"/>
    </w:rPr>
  </w:style>
  <w:style w:type="character" w:customStyle="1" w:styleId="QuoteChar">
    <w:name w:val="Quote Char"/>
    <w:basedOn w:val="DefaultParagraphFont"/>
    <w:link w:val="Quote"/>
    <w:uiPriority w:val="29"/>
    <w:rsid w:val="00FC693F"/>
    <w:rPr>
      <w:rFonts w:ascii="Noto Sans CJK JP" w:hAnsi="Noto Sans CJK JP" w:eastAsia="Noto Sans CJK JP" w:cs="Noto Sans CJK JP"/>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ascii="Noto Sans CJK JP" w:hAnsi="Noto Sans CJK JP" w:eastAsia="Noto Sans CJK JP" w:cs="Noto Sans CJK JP"/>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ascii="Noto Sans CJK JP" w:hAnsi="Noto Sans CJK JP" w:eastAsia="Noto Sans CJK JP" w:cs="Noto Sans CJK JP"/>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ascii="Noto Sans CJK JP" w:hAnsi="Noto Sans CJK JP" w:eastAsia="Noto Sans CJK JP" w:cs="Noto Sans CJK JP"/>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ascii="Noto Sans CJK JP" w:hAnsi="Noto Sans CJK JP" w:eastAsia="Noto Sans CJK JP" w:cs="Noto Sans CJK JP"/>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ascii="Noto Sans CJK JP" w:hAnsi="Noto Sans CJK JP" w:eastAsia="Noto Sans CJK JP" w:cs="Noto Sans CJK JP"/>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ascii="Noto Sans CJK JP" w:hAnsi="Noto Sans CJK JP" w:eastAsia="Noto Sans CJK JP" w:cs="Noto Sans CJK JP"/>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Noto Sans CJK JP" w:hAnsi="Noto Sans CJK JP" w:eastAsia="Noto Sans CJK JP" w:cs="Noto Sans CJK JP"/>
      <w:b/>
      <w:bCs/>
      <w:color w:val="4F81BD" w:themeColor="accent1"/>
      <w:sz w:val="18"/>
      <w:szCs w:val="18"/>
    </w:rPr>
  </w:style>
  <w:style w:type="character" w:styleId="Strong">
    <w:name w:val="Strong"/>
    <w:basedOn w:val="DefaultParagraphFont"/>
    <w:uiPriority w:val="22"/>
    <w:qFormat/>
    <w:rsid w:val="00FC693F"/>
    <w:rPr>
      <w:rFonts w:ascii="Noto Sans CJK JP" w:hAnsi="Noto Sans CJK JP" w:eastAsia="Noto Sans CJK JP" w:cs="Noto Sans CJK JP"/>
      <w:b/>
      <w:bCs/>
    </w:rPr>
  </w:style>
  <w:style w:type="character" w:styleId="Emphasis">
    <w:name w:val="Emphasis"/>
    <w:basedOn w:val="DefaultParagraphFont"/>
    <w:uiPriority w:val="20"/>
    <w:qFormat/>
    <w:rsid w:val="00FC693F"/>
    <w:rPr>
      <w:rFonts w:ascii="Noto Sans CJK JP" w:hAnsi="Noto Sans CJK JP" w:eastAsia="Noto Sans CJK JP" w:cs="Noto Sans CJK JP"/>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rFonts w:ascii="Noto Sans CJK JP" w:hAnsi="Noto Sans CJK JP" w:eastAsia="Noto Sans CJK JP" w:cs="Noto Sans CJK JP"/>
      <w:b/>
      <w:bCs/>
      <w:i/>
      <w:iCs/>
      <w:color w:val="4F81BD" w:themeColor="accent1"/>
    </w:rPr>
  </w:style>
  <w:style w:type="character" w:customStyle="1" w:styleId="IntenseQuoteChar">
    <w:name w:val="Intense Quote Char"/>
    <w:basedOn w:val="DefaultParagraphFont"/>
    <w:link w:val="IntenseQuote"/>
    <w:uiPriority w:val="30"/>
    <w:rsid w:val="00FC693F"/>
    <w:rPr>
      <w:rFonts w:ascii="Noto Sans CJK JP" w:hAnsi="Noto Sans CJK JP" w:eastAsia="Noto Sans CJK JP" w:cs="Noto Sans CJK JP"/>
      <w:b/>
      <w:bCs/>
      <w:i/>
      <w:iCs/>
      <w:color w:val="4F81BD" w:themeColor="accent1"/>
    </w:rPr>
  </w:style>
  <w:style w:type="character" w:styleId="SubtleEmphasis">
    <w:name w:val="Subtle Emphasis"/>
    <w:basedOn w:val="DefaultParagraphFont"/>
    <w:uiPriority w:val="19"/>
    <w:qFormat/>
    <w:rsid w:val="00FC693F"/>
    <w:rPr>
      <w:rFonts w:ascii="Noto Sans CJK JP" w:hAnsi="Noto Sans CJK JP" w:eastAsia="Noto Sans CJK JP" w:cs="Noto Sans CJK JP"/>
      <w:i/>
      <w:iCs/>
      <w:color w:val="808080" w:themeColor="text1" w:themeTint="7F"/>
    </w:rPr>
  </w:style>
  <w:style w:type="character" w:styleId="IntenseEmphasis">
    <w:name w:val="Intense Emphasis"/>
    <w:basedOn w:val="DefaultParagraphFont"/>
    <w:uiPriority w:val="21"/>
    <w:qFormat/>
    <w:rsid w:val="00FC693F"/>
    <w:rPr>
      <w:rFonts w:ascii="Noto Sans CJK JP" w:hAnsi="Noto Sans CJK JP" w:eastAsia="Noto Sans CJK JP" w:cs="Noto Sans CJK JP"/>
      <w:b/>
      <w:bCs/>
      <w:i/>
      <w:iCs/>
      <w:color w:val="4F81BD" w:themeColor="accent1"/>
    </w:rPr>
  </w:style>
  <w:style w:type="character" w:styleId="SubtleReference">
    <w:name w:val="Subtle Reference"/>
    <w:basedOn w:val="DefaultParagraphFont"/>
    <w:uiPriority w:val="31"/>
    <w:qFormat/>
    <w:rsid w:val="00FC693F"/>
    <w:rPr>
      <w:rFonts w:ascii="Noto Sans CJK JP" w:hAnsi="Noto Sans CJK JP" w:eastAsia="Noto Sans CJK JP" w:cs="Noto Sans CJK JP"/>
      <w:smallCaps/>
      <w:color w:val="C0504D" w:themeColor="accent2"/>
      <w:u w:val="single"/>
    </w:rPr>
  </w:style>
  <w:style w:type="character" w:styleId="IntenseReference">
    <w:name w:val="Intense Reference"/>
    <w:basedOn w:val="DefaultParagraphFont"/>
    <w:uiPriority w:val="32"/>
    <w:qFormat/>
    <w:rsid w:val="00FC693F"/>
    <w:rPr>
      <w:rFonts w:ascii="Noto Sans CJK JP" w:hAnsi="Noto Sans CJK JP" w:eastAsia="Noto Sans CJK JP" w:cs="Noto Sans CJK JP"/>
      <w:b/>
      <w:bCs/>
      <w:smallCaps/>
      <w:color w:val="C0504D" w:themeColor="accent2"/>
      <w:spacing w:val="5"/>
      <w:u w:val="single"/>
    </w:rPr>
  </w:style>
  <w:style w:type="character" w:styleId="BookTitle">
    <w:name w:val="Book Title"/>
    <w:basedOn w:val="DefaultParagraphFont"/>
    <w:uiPriority w:val="33"/>
    <w:qFormat/>
    <w:rsid w:val="00FC693F"/>
    <w:rPr>
      <w:rFonts w:ascii="Noto Sans CJK JP" w:hAnsi="Noto Sans CJK JP" w:eastAsia="Noto Sans CJK JP" w:cs="Noto Sans CJK JP"/>
      <w:b/>
      <w:bCs/>
      <w:smallCaps/>
      <w:spacing w:val="5"/>
    </w:rPr>
  </w:style>
  <w:style w:type="paragraph" w:styleId="TOCHeading">
    <w:name w:val="TOC Heading"/>
    <w:basedOn w:val="Heading1"/>
    <w:next w:val="Normal"/>
    <w:uiPriority w:val="39"/>
    <w:semiHidden/>
    <w:unhideWhenUsed/>
    <w:qFormat/>
    <w:rsid w:val="00FC693F"/>
    <w:pPr>
      <w:outlineLvl w:val="9"/>
    </w:pPr>
    <w:rPr>
      <w:rFonts w:ascii="Noto Sans CJK JP" w:hAnsi="Noto Sans CJK JP" w:eastAsia="Noto Sans CJK JP" w:cs="Noto Sans CJK JP"/>
    </w:rPr>
  </w:style>
  <w:style w:type="table" w:styleId="TableGrid">
    <w:name w:val="Table Grid"/>
    <w:basedOn w:val="TableNormal"/>
    <w:uiPriority w:val="59"/>
    <w:rsid w:val="00FC693F"/>
    <w:pPr>
      <w:spacing w:after="0" w:line="240" w:lineRule="auto"/>
    </w:pPr>
    <w:rPr>
      <w:rFonts w:ascii="Noto Sans CJK JP" w:hAnsi="Noto Sans CJK JP" w:eastAsia="Noto Sans CJK JP" w:cs="Noto Sans CJK 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rFonts w:ascii="Noto Sans CJK JP" w:hAnsi="Noto Sans CJK JP" w:eastAsia="Noto Sans CJK JP" w:cs="Noto Sans CJK JP"/>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Noto Sans CJK JP" w:hAnsi="Noto Sans CJK JP" w:eastAsia="Noto Sans CJK JP" w:cs="Noto Sans CJK JP"/>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Noto Sans CJK JP" w:hAnsi="Noto Sans CJK JP" w:eastAsia="Noto Sans CJK JP" w:cs="Noto Sans CJK JP"/>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Noto Sans CJK JP" w:hAnsi="Noto Sans CJK JP" w:eastAsia="Noto Sans CJK JP" w:cs="Noto Sans CJK JP"/>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Noto Sans CJK JP" w:hAnsi="Noto Sans CJK JP" w:eastAsia="Noto Sans CJK JP" w:cs="Noto Sans CJK JP"/>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Noto Sans CJK JP" w:hAnsi="Noto Sans CJK JP" w:eastAsia="Noto Sans CJK JP" w:cs="Noto Sans CJK JP"/>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Noto Sans CJK JP" w:hAnsi="Noto Sans CJK JP" w:eastAsia="Noto Sans CJK JP" w:cs="Noto Sans CJK JP"/>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ja/2050/resources/" TargetMode="External"/><Relationship Id="rId14" Type="http://schemas.openxmlformats.org/officeDocument/2006/relationships/hyperlink" Target="https://doi.org/10.1093/mind/LIX.236.433" TargetMode="External"/><Relationship Id="rId15" Type="http://schemas.openxmlformats.org/officeDocument/2006/relationships/hyperlink" Target="https://jmc.stanford.edu/articles/dartmouth/dartmouth.pdf" TargetMode="External"/><Relationship Id="rId16" Type="http://schemas.openxmlformats.org/officeDocument/2006/relationships/hyperlink" Target="https://doi.org/10.1037/h0042519" TargetMode="External"/><Relationship Id="rId17" Type="http://schemas.openxmlformats.org/officeDocument/2006/relationships/hyperlink" Target="https://mitpress.mit.edu/9780262631112/perceptrons/" TargetMode="External"/><Relationship Id="rId18" Type="http://schemas.openxmlformats.org/officeDocument/2006/relationships/hyperlink" Target="https://doi.org/10.1038/323533a0" TargetMode="External"/><Relationship Id="rId19" Type="http://schemas.openxmlformats.org/officeDocument/2006/relationships/hyperlink" Target="https://www.ibm.com/history/deep-blue" TargetMode="External"/><Relationship Id="rId20" Type="http://schemas.openxmlformats.org/officeDocument/2006/relationships/hyperlink" Target="https://papers.nips.cc/paper/4824-imagenet-classification-with-deep-convolutional-neural-networks" TargetMode="External"/><Relationship Id="rId21" Type="http://schemas.openxmlformats.org/officeDocument/2006/relationships/hyperlink" Target="https://arxiv.org/abs/1706.03762" TargetMode="External"/><Relationship Id="rId22" Type="http://schemas.openxmlformats.org/officeDocument/2006/relationships/hyperlink" Target="https://doi.org/10.1145/365153.365168" TargetMode="External"/><Relationship Id="rId23" Type="http://schemas.openxmlformats.org/officeDocument/2006/relationships/hyperlink" Target="https://openai.com/index/chatgpt/" TargetMode="External"/><Relationship Id="rId24" Type="http://schemas.openxmlformats.org/officeDocument/2006/relationships/hyperlink" Target="https://www.darpa.mil/news/features/arpanet" TargetMode="External"/><Relationship Id="rId25" Type="http://schemas.openxmlformats.org/officeDocument/2006/relationships/hyperlink" Target="https://www.internetsociety.org/news/press-releases/2013/new-years-day-marks-30th-anniversary-of-major-milestone-for-global-internet/" TargetMode="External"/><Relationship Id="rId26" Type="http://schemas.openxmlformats.org/officeDocument/2006/relationships/hyperlink" Target="https://home.cern/science/computing/the-birth-of-the-web/short-history-web/" TargetMode="External"/><Relationship Id="rId27" Type="http://schemas.openxmlformats.org/officeDocument/2006/relationships/hyperlink" Target="https://home.cern/open-internet-and-web/" TargetMode="External"/><Relationship Id="rId28" Type="http://schemas.openxmlformats.org/officeDocument/2006/relationships/hyperlink" Target="https://www.w3.org/TR/vc-data-model-2.0/" TargetMode="External"/><Relationship Id="rId29" Type="http://schemas.openxmlformats.org/officeDocument/2006/relationships/hyperlink" Target="https://www.w3.org/TR/vc-data-integrity/" TargetMode="External"/><Relationship Id="rId30" Type="http://schemas.openxmlformats.org/officeDocument/2006/relationships/hyperlink" Target="https://www.w3.org/TR/vc-jose-cose/" TargetMode="External"/><Relationship Id="rId31" Type="http://schemas.openxmlformats.org/officeDocument/2006/relationships/hyperlink" Target="https://openid.net/specs/openid-4-verifiable-credential-issuance-1_0.html" TargetMode="External"/><Relationship Id="rId32" Type="http://schemas.openxmlformats.org/officeDocument/2006/relationships/hyperlink" Target="https://openid.net/specs/openid-4-verifiable-presentations-1_0.html" TargetMode="External"/><Relationship Id="rId33" Type="http://schemas.openxmlformats.org/officeDocument/2006/relationships/hyperlink" Target="https://doi.org/10.6028/NIST.SP.800-63-4" TargetMode="External"/><Relationship Id="rId34" Type="http://schemas.openxmlformats.org/officeDocument/2006/relationships/hyperlink" Target="https://doi.org/10.6028/NIST.IR.8202" TargetMode="External"/><Relationship Id="rId35" Type="http://schemas.openxmlformats.org/officeDocument/2006/relationships/hyperlink" Target="https://www.who.int/publications/i/item/9789240029200" TargetMode="External"/><Relationship Id="rId36" Type="http://schemas.openxmlformats.org/officeDocument/2006/relationships/hyperlink" Target="https://www.who.int/publications/i/item/9789240078871" TargetMode="External"/><Relationship Id="rId37" Type="http://schemas.openxmlformats.org/officeDocument/2006/relationships/hyperlink" Target="https://www.who.int/publications/i/item/9789240084759" TargetMode="External"/><Relationship Id="rId38" Type="http://schemas.openxmlformats.org/officeDocument/2006/relationships/hyperlink" Target="https://www.who.int/publications/b/70584" TargetMode="External"/><Relationship Id="rId39" Type="http://schemas.openxmlformats.org/officeDocument/2006/relationships/hyperlink" Target="https://www.who.int/europe/publications/i/item/WHO-EURO-2026-12707-52481-81471" TargetMode="External"/><Relationship Id="rId40" Type="http://schemas.openxmlformats.org/officeDocument/2006/relationships/hyperlink" Target="https://www.who.int/publications/i/item/B09667" TargetMode="External"/><Relationship Id="rId41" Type="http://schemas.openxmlformats.org/officeDocument/2006/relationships/hyperlink" Target="https://health.ec.europa.eu/document/download/b45335c5-1679-4c71-a91c-fc7a4d37f12b_en" TargetMode="External"/><Relationship Id="rId42" Type="http://schemas.openxmlformats.org/officeDocument/2006/relationships/hyperlink" Target="https://health.ec.europa.eu/document/download/b78a17d7-e3cd-4943-851d-e02a2f22bbb4_en" TargetMode="External"/><Relationship Id="rId43" Type="http://schemas.openxmlformats.org/officeDocument/2006/relationships/hyperlink" Target="https://www.who.int/news-room/fact-sheets/detail/adolescent-mental-health" TargetMode="External"/><Relationship Id="rId44" Type="http://schemas.openxmlformats.org/officeDocument/2006/relationships/hyperlink" Target="https://www.who.int/groups/commission-on-social-connection/report" TargetMode="External"/><Relationship Id="rId45" Type="http://schemas.openxmlformats.org/officeDocument/2006/relationships/hyperlink" Target="https://www.unicef.org/innocenti/reports/policy-guidance-ai-children" TargetMode="External"/><Relationship Id="rId46" Type="http://schemas.openxmlformats.org/officeDocument/2006/relationships/hyperlink" Target="https://www.unicef.org/documents/when-ai-becomes-friend-child-rights-risks" TargetMode="External"/><Relationship Id="rId47" Type="http://schemas.openxmlformats.org/officeDocument/2006/relationships/hyperlink" Target="https://www.ftc.gov/news-events/news/press-releases/2025/09/ftc-launches-inquiry-ai-chatbots-acting-companions" TargetMode="External"/><Relationship Id="rId48" Type="http://schemas.openxmlformats.org/officeDocument/2006/relationships/hyperlink" Target="https://www.unesco.org/en/articles/guidance-generative-ai-education-and-research" TargetMode="External"/><Relationship Id="rId49" Type="http://schemas.openxmlformats.org/officeDocument/2006/relationships/hyperlink" Target="https://doi.org/10.54394/HETP0387" TargetMode="External"/><Relationship Id="rId50" Type="http://schemas.openxmlformats.org/officeDocument/2006/relationships/hyperlink" Target="https://doi.org/10.1038/s41562-018-0335-2" TargetMode="External"/><Relationship Id="rId51" Type="http://schemas.openxmlformats.org/officeDocument/2006/relationships/hyperlink" Target="https://unctad.org/publication/technology-and-innovation-report-2025" TargetMode="External"/><Relationship Id="rId52" Type="http://schemas.openxmlformats.org/officeDocument/2006/relationships/hyperlink" Target="https://www.iea.org/reports/energy-and-ai" TargetMode="External"/><Relationship Id="rId53" Type="http://schemas.openxmlformats.org/officeDocument/2006/relationships/hyperlink" Target="https://eta.lbl.gov/publications/2024-lbnl-data-center-energy-usage-report" TargetMode="External"/><Relationship Id="rId54" Type="http://schemas.openxmlformats.org/officeDocument/2006/relationships/hyperlink" Target="https://www.usgs.gov/mission-areas/water-resources/science/water-use-terminology" TargetMode="External"/><Relationship Id="rId55" Type="http://schemas.openxmlformats.org/officeDocument/2006/relationships/hyperlink" Target="https://www.iso.org/standard/37456.html" TargetMode="External"/><Relationship Id="rId56" Type="http://schemas.openxmlformats.org/officeDocument/2006/relationships/hyperlink" Target="https://www.iso.org/standard/38498.html" TargetMode="External"/><Relationship Id="rId57" Type="http://schemas.openxmlformats.org/officeDocument/2006/relationships/hyperlink" Target="https://doi.org/10.3133/mcs2026" TargetMode="External"/><Relationship Id="rId58" Type="http://schemas.openxmlformats.org/officeDocument/2006/relationships/hyperlink" Target="https://www.iea.org/reports/global-critical-minerals-outlook-2025" TargetMode="External"/><Relationship Id="rId59" Type="http://schemas.openxmlformats.org/officeDocument/2006/relationships/hyperlink" Target="https://www.itu.int/hub/publication/d-gen-e_waste-01-2024/" TargetMode="External"/><Relationship Id="rId60" Type="http://schemas.openxmlformats.org/officeDocument/2006/relationships/hyperlink" Target="https://www.starcloud.com/starcloud-1" TargetMode="External"/><Relationship Id="rId61" Type="http://schemas.openxmlformats.org/officeDocument/2006/relationships/hyperlink" Target="https://www.axiomspace.com/orbital-data-center" TargetMode="External"/><Relationship Id="rId62" Type="http://schemas.openxmlformats.org/officeDocument/2006/relationships/hyperlink" Target="https://research.google/blog/exploring-a-space-based-scalable-ai-infrastructure-system-design/" TargetMode="External"/><Relationship Id="rId63" Type="http://schemas.openxmlformats.org/officeDocument/2006/relationships/hyperlink" Target="https://cordis.europa.eu/project/id/101082517" TargetMode="External"/><Relationship Id="rId64" Type="http://schemas.openxmlformats.org/officeDocument/2006/relationships/hyperlink" Target="https://cordis.europa.eu/project/id/101082517/reporting" TargetMode="External"/><Relationship Id="rId65" Type="http://schemas.openxmlformats.org/officeDocument/2006/relationships/hyperlink" Target="https://arxiv.org/abs/2604.27197" TargetMode="External"/><Relationship Id="rId66" Type="http://schemas.openxmlformats.org/officeDocument/2006/relationships/hyperlink" Target="https://doi.org/10.48550/arXiv.2604.27197" TargetMode="External"/><Relationship Id="rId67" Type="http://schemas.openxmlformats.org/officeDocument/2006/relationships/hyperlink" Target="https://www.mdpi.com/2076-3417/16/11/5247" TargetMode="External"/><Relationship Id="rId68" Type="http://schemas.openxmlformats.org/officeDocument/2006/relationships/hyperlink" Target="https://doi.org/10.3390/app16115247" TargetMode="External"/><Relationship Id="rId69" Type="http://schemas.openxmlformats.org/officeDocument/2006/relationships/hyperlink" Target="https://onlinelibrary.wiley.com/doi/10.1002/ieam.4722" TargetMode="External"/><Relationship Id="rId70" Type="http://schemas.openxmlformats.org/officeDocument/2006/relationships/hyperlink" Target="https://doi.org/10.1002/ieam.4722" TargetMode="External"/><Relationship Id="rId71" Type="http://schemas.openxmlformats.org/officeDocument/2006/relationships/hyperlink" Target="https://repository.library.noaa.gov/view/noaa/58476" TargetMode="External"/><Relationship Id="rId72" Type="http://schemas.openxmlformats.org/officeDocument/2006/relationships/hyperlink" Target="https://doi.org/10.1073/pnas.2313374120" TargetMode="External"/><Relationship Id="rId73" Type="http://schemas.openxmlformats.org/officeDocument/2006/relationships/hyperlink" Target="https://kpa.co.ke/Ports/PortOfMombasa" TargetMode="External"/><Relationship Id="rId74" Type="http://schemas.openxmlformats.org/officeDocument/2006/relationships/hyperlink" Target="https://www.ttcanc.org/node/70" TargetMode="External"/><Relationship Id="rId75" Type="http://schemas.openxmlformats.org/officeDocument/2006/relationships/hyperlink" Target="https://www.nist.gov/chips/vision-success-facilities-semiconductor-materials-and-manufacturing-equipment" TargetMode="External"/><Relationship Id="rId76" Type="http://schemas.openxmlformats.org/officeDocument/2006/relationships/hyperlink" Target="https://www.gao.gov/products/gao-22-105923" TargetMode="External"/><Relationship Id="rId77" Type="http://schemas.openxmlformats.org/officeDocument/2006/relationships/hyperlink" Target="https://digital-strategy.ec.europa.eu/en/policies/european-chips-act" TargetMode="External"/><Relationship Id="rId78" Type="http://schemas.openxmlformats.org/officeDocument/2006/relationships/hyperlink" Target="https://digital-strategy.ec.europa.eu/en/library/proposal-chips-act-20" TargetMode="External"/><Relationship Id="rId79" Type="http://schemas.openxmlformats.org/officeDocument/2006/relationships/hyperlink" Target="https://www.federalregister.gov/documents/2026/01/15/2026-00789/revision-to-license-review-policy-for-advanced-computing-commodities" TargetMode="External"/><Relationship Id="rId80" Type="http://schemas.openxmlformats.org/officeDocument/2006/relationships/hyperlink" Target="https://www.bis.gov/regulations/federal-register-notices" TargetMode="External"/><Relationship Id="rId81" Type="http://schemas.openxmlformats.org/officeDocument/2006/relationships/hyperlink" Target="https://www.bis.gov/regulations/ear/744" TargetMode="External"/><Relationship Id="rId82" Type="http://schemas.openxmlformats.org/officeDocument/2006/relationships/hyperlink" Target="https://www.bis.gov/regulations/ear/748" TargetMode="External"/><Relationship Id="rId83" Type="http://schemas.openxmlformats.org/officeDocument/2006/relationships/hyperlink" Target="https://www.itu.int/hub/publication/s-iab-wg-2026/" TargetMode="External"/><Relationship Id="rId84" Type="http://schemas.openxmlformats.org/officeDocument/2006/relationships/hyperlink" Target="https://www.gov.uk/cma-cases/cloud-services-market-investigation" TargetMode="External"/><Relationship Id="rId85" Type="http://schemas.openxmlformats.org/officeDocument/2006/relationships/hyperlink" Target="https://www.gov.uk/government/publications/business-software-and-cloud-services" TargetMode="External"/><Relationship Id="rId86" Type="http://schemas.openxmlformats.org/officeDocument/2006/relationships/hyperlink" Target="https://www.enisa.europa.eu/publications/enisa-threat-landscape-2025" TargetMode="External"/><Relationship Id="rId87" Type="http://schemas.openxmlformats.org/officeDocument/2006/relationships/hyperlink" Target="https://www.enisa.europa.eu/publications/enisas-view-on-cybersecurity-in-the-frontier-ai-era" TargetMode="External"/><Relationship Id="rId88" Type="http://schemas.openxmlformats.org/officeDocument/2006/relationships/hyperlink" Target="https://digitallibrary.un.org/record/3908015" TargetMode="External"/><Relationship Id="rId89" Type="http://schemas.openxmlformats.org/officeDocument/2006/relationships/hyperlink" Target="https://www.californialawreview.org/print/deep-fakes-a-looming-challenge-for-privacy-democracy-and-national-security" TargetMode="External"/><Relationship Id="rId90" Type="http://schemas.openxmlformats.org/officeDocument/2006/relationships/hyperlink" Target="https://eur-lex.europa.eu/eli/reg/2024/1689/oj/eng" TargetMode="External"/><Relationship Id="rId91" Type="http://schemas.openxmlformats.org/officeDocument/2006/relationships/hyperlink" Target="https://ai-act-service-desk.ec.europa.eu/en/ai-act/article-50" TargetMode="External"/><Relationship Id="rId92" Type="http://schemas.openxmlformats.org/officeDocument/2006/relationships/hyperlink" Target="https://ai-act-service-desk.ec.europa.eu/en/ai-act/article-53" TargetMode="External"/><Relationship Id="rId93" Type="http://schemas.openxmlformats.org/officeDocument/2006/relationships/hyperlink" Target="https://eur-lex.europa.eu/eli/reg/2016/679/oj/eng" TargetMode="External"/><Relationship Id="rId94" Type="http://schemas.openxmlformats.org/officeDocument/2006/relationships/hyperlink" Target="https://www.edpb.europa.eu/documents/guideline/automated-decision-making-and-profiling_en" TargetMode="External"/><Relationship Id="rId95" Type="http://schemas.openxmlformats.org/officeDocument/2006/relationships/hyperlink" Target="https://infocuria.curia.europa.eu/tabs/redirect/juris/document/document.jsf?docid=280426&amp;doclang=en" TargetMode="External"/><Relationship Id="rId96" Type="http://schemas.openxmlformats.org/officeDocument/2006/relationships/hyperlink" Target="https://eur-lex.europa.eu/eli/reg/2024/1183/oj/eng" TargetMode="External"/><Relationship Id="rId97" Type="http://schemas.openxmlformats.org/officeDocument/2006/relationships/hyperlink" Target="https://digital-strategy.ec.europa.eu/en/policies/eudi-wallet-implementation" TargetMode="External"/><Relationship Id="rId98" Type="http://schemas.openxmlformats.org/officeDocument/2006/relationships/hyperlink" Target="https://github.com/eu-digital-identity-wallet/eudi-doc-architecture-and-reference-framework/releases/tag/v2.9.0" TargetMode="External"/><Relationship Id="rId99" Type="http://schemas.openxmlformats.org/officeDocument/2006/relationships/hyperlink" Target="https://eur-lex.europa.eu/eli/reg/2022/2065/oj/eng" TargetMode="External"/><Relationship Id="rId100" Type="http://schemas.openxmlformats.org/officeDocument/2006/relationships/hyperlink" Target="https://ai-act-service-desk.ec.europa.eu/en/ai-act/article-5" TargetMode="External"/><Relationship Id="rId101" Type="http://schemas.openxmlformats.org/officeDocument/2006/relationships/hyperlink" Target="https://eur-lex.europa.eu/eli/dir/2024/2831/oj/eng" TargetMode="External"/><Relationship Id="rId102" Type="http://schemas.openxmlformats.org/officeDocument/2006/relationships/hyperlink" Target="https://eur-lex.europa.eu/eli/dir/2019/790/oj/eng" TargetMode="External"/><Relationship Id="rId103" Type="http://schemas.openxmlformats.org/officeDocument/2006/relationships/hyperlink" Target="https://digital-strategy.ec.europa.eu/en/news/commission-publishes-code-practice-marking-and-labelling-ai-generated-content" TargetMode="External"/><Relationship Id="rId104" Type="http://schemas.openxmlformats.org/officeDocument/2006/relationships/hyperlink" Target="https://digital-strategy.ec.europa.eu/en/library/commission-opinion-assessment-code-practice-transparency-ai-generated-content" TargetMode="External"/><Relationship Id="rId105" Type="http://schemas.openxmlformats.org/officeDocument/2006/relationships/hyperlink" Target="https://digital-strategy.ec.europa.eu/en/news/general-purpose-ai-code-practice-now-available" TargetMode="External"/><Relationship Id="rId106" Type="http://schemas.openxmlformats.org/officeDocument/2006/relationships/hyperlink" Target="https://eur-lex.europa.eu/eli/reg/2017/745/oj/eng" TargetMode="External"/><Relationship Id="rId107" Type="http://schemas.openxmlformats.org/officeDocument/2006/relationships/hyperlink" Target="https://eur-lex.europa.eu/eli/reg/2017/746/oj/eng" TargetMode="External"/><Relationship Id="rId108" Type="http://schemas.openxmlformats.org/officeDocument/2006/relationships/hyperlink" Target="https://www.edpb.europa.eu/system/files/2023-05/edpb_guidelines_202304_frtlawenforcement_v2_en.pdf" TargetMode="External"/><Relationship Id="rId109" Type="http://schemas.openxmlformats.org/officeDocument/2006/relationships/hyperlink" Target="https://www.garanteprivacy.it/temi/internet-e-nuove-tecnologie/eredita-digitale" TargetMode="External"/><Relationship Id="rId110" Type="http://schemas.openxmlformats.org/officeDocument/2006/relationships/header" Target="header2.xml"/><Relationship Id="rId11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検索可能な文献資料一覧</dc:title>
  <dc:subject>『2050年 - AIと、私たちを人間たらしめるもの』公式補助資料</dc:subject>
  <dc:creator>Corner Italiano LLC</dc:creator>
  <cp:keywords>2050, 人工知能, 2050年テスト, 公式資料</cp:keywords>
  <dc:description>generated by python-docx</dc:description>
  <cp:lastModifiedBy>Corner Italiano LLC</cp:lastModifiedBy>
  <cp:revision>1</cp:revision>
  <dcterms:created xsi:type="dcterms:W3CDTF">2013-12-23T23:15:00Z</dcterms:created>
  <dcterms:modified xsi:type="dcterms:W3CDTF">2013-12-23T23:15:00Z</dcterms:modified>
  <cp:category/>
</cp:coreProperties>
</file>