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atLeast"/>
        <w:jc w:val="center"/>
        <w:wordWrap w:val="1"/>
      </w:pPr>
      <w:r>
        <w:rPr>
          <w:rFonts w:ascii="EB Garamond" w:hAnsi="EB Garamond" w:eastAsia="Noto Serif CJK JP" w:cs="EB Garamond"/>
          <w:b/>
          <w:color w:val="B04A35"/>
          <w:sz w:val="21"/>
          <w:szCs w:val="21"/>
          <w:lang w:eastAsia="ja-JP" w:val="en-US"/>
        </w:rPr>
        <w:t xml:space="preserve">CORNER ITALIANO  |  公式資料</w:t>
      </w:r>
    </w:p>
    <w:p>
      <w:pPr>
        <w:spacing w:before="560" w:line="640" w:lineRule="atLeast"/>
        <w:jc w:val="center"/>
        <w:wordWrap w:val="1"/>
      </w:pPr>
      <w:r>
        <w:rPr>
          <w:rFonts w:ascii="EB Garamond" w:hAnsi="EB Garamond" w:eastAsia="Noto Serif CJK JP" w:cs="EB Garamond"/>
          <w:b/>
          <w:color w:val="183445"/>
          <w:sz w:val="56"/>
          <w:szCs w:val="56"/>
          <w:lang w:eastAsia="ja-JP" w:val="en-US"/>
        </w:rPr>
        <w:t xml:space="preserve">2050年テスト</w:t>
      </w:r>
    </w:p>
    <w:p>
      <w:pPr>
        <w:jc w:val="center"/>
        <w:spacing w:line="640" w:lineRule="atLeast"/>
        <w:wordWrap w:val="1"/>
      </w:pPr>
      <w:r>
        <w:rPr>
          <w:rFonts w:ascii="EB Garamond" w:hAnsi="EB Garamond" w:eastAsia="Noto Serif CJK JP" w:cs="EB Garamond"/>
          <w:b/>
          <w:color w:val="183445"/>
          <w:sz w:val="56"/>
          <w:szCs w:val="56"/>
          <w:lang w:eastAsia="ja-JP" w:val="en-US"/>
        </w:rPr>
        <w:t xml:space="preserve">実践ワークブック</w:t>
      </w:r>
    </w:p>
    <w:p>
      <w:pPr>
        <w:spacing w:before="200" w:line="270" w:lineRule="atLeast"/>
        <w:jc w:val="center"/>
        <w:wordWrap w:val="1"/>
      </w:pPr>
      <w:r>
        <w:rPr>
          <w:rFonts w:ascii="EB Garamond" w:hAnsi="EB Garamond" w:eastAsia="Noto Serif CJK JP" w:cs="EB Garamond"/>
          <w:color w:val="5A686F"/>
          <w:sz w:val="21"/>
          <w:szCs w:val="21"/>
          <w:lang w:eastAsia="ja-JP" w:val="en-US"/>
        </w:rPr>
        <w:t xml:space="preserve">三つの語彙、七つの問い、モニタリング、決定、再審査。</w:t>
      </w:r>
    </w:p>
    <w:p>
      <w:pPr>
        <w:spacing w:before="600" w:line="270" w:lineRule="atLeast"/>
        <w:jc w:val="center"/>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520" w:line="270" w:lineRule="atLeast"/>
        <w:jc w:val="center"/>
        <w:wordWrap w:val="1"/>
      </w:pPr>
      <w:hyperlink r:id="rId12">
        <w:r>
          <w:rPr>
            <w:rFonts w:ascii="EB Garamond" w:hAnsi="EB Garamond" w:eastAsia="Noto Serif CJK JP" w:cs="EB Garamond"/>
            <w:color w:val="183445"/>
            <w:u w:val="single"/>
            <w:sz w:val="21"/>
            <w:szCs w:val="21"/>
            <w:lang w:eastAsia="ja-JP" w:val="en-US"/>
          </w:rPr>
          <w:t>https://www.corneritaliano.com/ja/2050/resources/</w:t>
        </w:r>
      </w:hyperlink>
    </w:p>
    <w:p>
      <w:pPr>
        <w:spacing w:before="800" w:line="270" w:lineRule="atLeast"/>
        <w:jc w:val="center"/>
        <w:wordWrap w:val="1"/>
      </w:pPr>
      <w:r>
        <w:rPr>
          <w:rFonts w:ascii="EB Garamond" w:hAnsi="EB Garamond" w:eastAsia="Noto Serif CJK JP" w:cs="EB Garamond"/>
          <w:i/>
          <w:color w:val="5A686F"/>
          <w:sz w:val="18"/>
          <w:szCs w:val="18"/>
          <w:lang w:eastAsia="ja-JP" w:val="en-US"/>
        </w:rPr>
        <w:t xml:space="preserve">A4用紙に100%で印刷してください。印刷して手書きで記入するか、Word版を編集してください。事実、文書、バージョン、日付を記入します。空欄は根拠を記録するために意図的に設けています。</w:t>
      </w: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三つの統制語彙のマップ</w:t>
      </w:r>
    </w:p>
    <w:p>
      <w:pPr>
        <w:keepLines w:val="0"/>
        <w:spacing w:line="270" w:lineRule="atLeast"/>
        <w:wordWrap w:val="1"/>
      </w:pPr>
      <w:r>
        <w:rPr>
          <w:rFonts w:ascii="EB Garamond" w:hAnsi="EB Garamond" w:eastAsia="Noto Serif CJK JP" w:cs="EB Garamond"/>
          <w:color w:val="1F2D33"/>
          <w:sz w:val="18"/>
          <w:szCs w:val="18"/>
          <w:lang w:eastAsia="ja-JP" w:val="en-US"/>
        </w:rPr>
        <w:t xml:space="preserve">モードはシステムが行使する権限を示します。各問いには回答の状態を付し、組織としての決定には全体として何を認可するかを記録します。これらの語彙を足し合わせたり、一つを別のものへ自動的に変換したりしないでください。</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5018"/>
        <w:gridCol w:w="3149"/>
      </w:tblGrid>
      <w:tr>
        <w:trPr>
          <w:tblHeader w:val="true"/>
          <w:cantSplit/>
        </w:trPr>
        <w:tc>
          <w:tcPr>
            <w:tcW w:type="dxa" w:w="1673"/>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区分</w:t>
            </w:r>
          </w:p>
        </w:tc>
        <w:tc>
          <w:tcPr>
            <w:tcW w:type="dxa" w:w="5018"/>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用語と意味</w:t>
            </w:r>
          </w:p>
        </w:tc>
        <w:tc>
          <w:tcPr>
            <w:tcW w:type="dxa" w:w="3149"/>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使用規則</w:t>
            </w:r>
          </w:p>
        </w:tc>
      </w:tr>
      <w:tr>
        <w:trPr>
          <w:cantSplit/>
        </w:trPr>
        <w:tc>
          <w:tcPr>
            <w:tcW w:type="dxa" w:w="167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システムのモード</w:t>
            </w:r>
          </w:p>
        </w:tc>
        <w:tc>
          <w:tcPr>
            <w:tcW w:type="dxa" w:w="501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支援—結果を選ばず、要素を準備し、整理し、見えるようにします。提案—適任者が変更または拒否できる選択肢を推奨します。決定—委任範囲内で結果を選びます。実行—サービス、現実世界、または権利に影響を及ぼします。</w:t>
            </w:r>
          </w:p>
        </w:tc>
        <w:tc>
          <w:tcPr>
            <w:tcW w:type="dxa" w:w="31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特定の業務と段階で行使される権限を表します。同じシステム内でも変わることがあります。</w:t>
            </w:r>
          </w:p>
        </w:tc>
      </w:tr>
      <w:tr>
        <w:trPr>
          <w:cantSplit/>
        </w:trPr>
        <w:tc>
          <w:tcPr>
            <w:tcW w:type="dxa" w:w="167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回答の状態</w:t>
            </w:r>
          </w:p>
        </w:tc>
        <w:tc>
          <w:tcPr>
            <w:tcW w:type="dxa" w:w="501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十分—明記されたバージョン、日付、範囲内でのみ決定を裏づけます。未解決—根拠、責任者、期限が必要です。阻止条件—その条件が変わるまで権限委譲を阻むか、利用範囲の縮小または利用停止を求めます。</w:t>
            </w:r>
          </w:p>
        </w:tc>
        <w:tc>
          <w:tcPr>
            <w:tcW w:type="dxa" w:w="3149"/>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七つの回答のそれぞれに状態を付します。</w:t>
            </w:r>
          </w:p>
        </w:tc>
      </w:tr>
      <w:tr>
        <w:trPr>
          <w:cantSplit/>
        </w:trPr>
        <w:tc>
          <w:tcPr>
            <w:tcW w:type="dxa" w:w="167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組織としての決定</w:t>
            </w:r>
          </w:p>
        </w:tc>
        <w:tc>
          <w:tcPr>
            <w:tcW w:type="dxa" w:w="501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進める—明記された範囲を認可します。範囲を限定して試す—範囲が限定され、可逆的で、停止可能な試行を認可します。委任しない—現在の状況ではその権限を委ねず、代替策とそのコストを記録し、再審査を予定します。中止する—すでに有効な認可を終了します。</w:t>
            </w:r>
          </w:p>
        </w:tc>
        <w:tc>
          <w:tcPr>
            <w:tcW w:type="dxa" w:w="3149"/>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全体としての選択を記録します。モードからも、回答が「十分」とされた問いの数からも自動的には導かれません。</w:t>
            </w:r>
          </w:p>
        </w:tc>
      </w:tr>
    </w:tbl>
    <w:p>
      <w:pPr>
        <w:spacing w:after="0"/>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テストから決定へ</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362"/>
        <w:gridCol w:w="7478"/>
      </w:tblGrid>
      <w:tr>
        <w:trPr>
          <w:tblHeader w:val="true"/>
          <w:cantSplit/>
        </w:trPr>
        <w:tc>
          <w:tcPr>
            <w:tcW w:type="dxa" w:w="2362"/>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段階</w:t>
            </w:r>
          </w:p>
        </w:tc>
        <w:tc>
          <w:tcPr>
            <w:tcW w:type="dxa" w:w="7478"/>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観察可能な状態に保つべきもの</w:t>
            </w:r>
          </w:p>
        </w:tc>
      </w:tr>
      <w:tr>
        <w:trPr>
          <w:cantSplit/>
        </w:trPr>
        <w:tc>
          <w:tcPr>
            <w:tcW w:type="dxa" w:w="2362"/>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1. テスト</w:t>
            </w:r>
          </w:p>
        </w:tc>
        <w:tc>
          <w:tcPr>
            <w:tcW w:type="dxa" w:w="747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目的、委任範囲、根拠、配分、損害、救済、離脱。根拠と、相殺できない条件。</w:t>
            </w:r>
          </w:p>
        </w:tc>
      </w:tr>
      <w:tr>
        <w:trPr>
          <w:cantSplit/>
        </w:trPr>
        <w:tc>
          <w:tcPr>
            <w:tcW w:type="dxa" w:w="2362"/>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2. 委任範囲</w:t>
            </w:r>
          </w:p>
        </w:tc>
        <w:tc>
          <w:tcPr>
            <w:tcW w:type="dxa" w:w="747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業務、モード、データ、関係者、場所、期間、処理量、記録、禁止事項、しきい値、停止権限。</w:t>
            </w:r>
          </w:p>
        </w:tc>
      </w:tr>
      <w:tr>
        <w:trPr>
          <w:cantSplit/>
        </w:trPr>
        <w:tc>
          <w:tcPr>
            <w:tcW w:type="dxa" w:w="2362"/>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3. ライフサイクルのモニタリング</w:t>
            </w:r>
          </w:p>
        </w:tc>
        <w:tc>
          <w:tcPr>
            <w:tcW w:type="dxa" w:w="747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バージョン、便益、例外、監督負荷、インシデント、救済申立て、残存能力、離脱テスト。</w:t>
            </w:r>
          </w:p>
        </w:tc>
      </w:tr>
      <w:tr>
        <w:trPr>
          <w:cantSplit/>
        </w:trPr>
        <w:tc>
          <w:tcPr>
            <w:tcW w:type="dxa" w:w="2362"/>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4. 範囲を限定する、離脱する、または中止する</w:t>
            </w:r>
          </w:p>
        </w:tc>
        <w:tc>
          <w:tcPr>
            <w:tcW w:type="dxa" w:w="747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条件が成り立たなくなったときは、委任範囲を狭め、縮退モードへ移行し、システムを別の手段に置き換えるか、利用を中止します。</w:t>
            </w:r>
          </w:p>
        </w:tc>
      </w:tr>
    </w:tbl>
    <w:p>
      <w:pPr>
        <w:spacing w:after="0"/>
        <w:wordWrap w:val="1"/>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atLeast"/>
              <w:wordWrap w:val="1"/>
            </w:pPr>
            <w:r>
              <w:rPr>
                <w:rFonts w:ascii="EB Garamond" w:hAnsi="EB Garamond" w:eastAsia="Noto Serif CJK JP" w:cs="EB Garamond"/>
                <w:color w:val="1F2D33"/>
                <w:sz w:val="17"/>
                <w:szCs w:val="17"/>
                <w:lang w:eastAsia="ja-JP" w:val="en-US"/>
              </w:rPr>
              <w:t xml:space="preserve">重要  「支援」は「進める」と同じではなく、「十分」は肯定的な評価と同じではありません。モデル、データ、提供事業者、規模、業務、責任者が変われば、テストを再度実施します。</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pageBreakBefore w:val="1"/>
        <w:wordWrap w:val="1"/>
      </w:pPr>
      <w:r>
        <w:rPr>
          <w:rFonts w:ascii="EB Garamond" w:hAnsi="EB Garamond" w:eastAsia="Noto Serif CJK JP" w:cs="EB Garamond"/>
          <w:sz w:val="40"/>
          <w:szCs w:val="40"/>
          <w:color w:val="183445"/>
          <w:lang w:eastAsia="ja-JP" w:val="en-US"/>
        </w:rPr>
        <w:t xml:space="preserve">回答が「十分」となる場合と「阻止条件」となる場合</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目的 — 必要性が観察可能で、受益者が特定され、改善の基準が明記され、最も介入の少ない代替策と介入しない場合のコストが比較されていれば「十分」です。掲げられた目的が「AIを使うこと」だけの場合、または異議を唱えられない人に負担を転嫁する経費削減だけの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委任範囲 — モード（支援、提案、決定、実行）とともに限界、説明責任を負う人、上位への対応要請経路が明記され、出力を再審査する人に、それを覆すための時間、専門知識、権限があれば「十分」です。「支援」と表示されたシステムが、誰も間に合ううちに覆せないために「決定」または「実行」として機能している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根拠 — 利用する文脈で性能が測定され、既知の限界が記録され、結果の対象となる人が、その結果を検証し異議を申し立てるのに十分な説明を得られるなら「十分」です。その文脈での性能が不明な場合、または結果の影響を受ける人に説明できない場合は「阻止条件」です。その根拠を得るために、外部への影響を伴わない終結済み事例や合成事例での観察を認可することはできますが、これは権限委譲ではありません。</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配分 — 排除されている人や十分に代表されていない人も含め、誰が利益を得て、誰が時間、労働、リスク、権力の面で負担を負うかが収支に示され、統治のコストも算入されていれば「十分」です。利益が組織に帰属する一方、最も保護の弱い人にリスクが転嫁され、補償も異議を唱える手段もない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損害 — 起こり得る失敗が、深刻度、影響範囲、可逆性、損害発生までの時間とともに列挙され、警告、停止、封じ込めが損害の発生に先行するなら「十分」です。人が理解したり停止したりできる速さを超えてシステムが作動する場合、または起こり得る失敗が、影響を受ける人にとって不可逆的になる前に、認可範囲内で封じ込められない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救済 — システムが関与したことと何が起きたかが本人に伝えられ、理由を得られ、結果を変更する権限を持つ適任の再審査担当者に明示された時間内に到達でき、訂正が上流のデータまたは手続にも反映されるなら「十分」です。再審査が自動化されている場合、単に結果を繰り返すだけの場合、または変更権限がない場合は「阻止条件」です。</w:t>
      </w:r>
    </w:p>
    <w:p>
      <w:pPr>
        <w:keepLines w:val="0"/>
        <w:spacing w:line="270" w:lineRule="atLeast" w:after="120"/>
        <w:wordWrap w:val="1"/>
      </w:pPr>
      <w:r>
        <w:rPr>
          <w:rFonts w:ascii="EB Garamond" w:hAnsi="EB Garamond" w:eastAsia="Noto Serif CJK JP" w:cs="EB Garamond"/>
          <w:color w:val="1F2D33"/>
          <w:sz w:val="18"/>
          <w:szCs w:val="18"/>
          <w:b w:val="0"/>
          <w:bCs w:val="0"/>
          <w:i w:val="0"/>
          <w:iCs w:val="0"/>
          <w:lang w:eastAsia="ja-JP" w:val="en-US"/>
        </w:rPr>
        <w:t xml:space="preserve">離脱 — 停止、取り消し、提供事業者の変更、代替策の選択が可能で、ポータビリティと相互運用性があり、離脱計画を予定に従って検証していれば「十分」です。拒否すると、釣り合いの取れた代替策がないまま雇用、医療、教育、不可欠なサービスを失う場合は「阻止条件」です。</w:t>
      </w:r>
    </w:p>
    <w:p>
      <w:pPr>
        <w:keepLines w:val="0"/>
        <w:spacing w:line="270" w:lineRule="atLeast"/>
        <w:wordWrap w:val="1"/>
      </w:pPr>
      <w:r>
        <w:rPr>
          <w:rFonts w:ascii="EB Garamond" w:hAnsi="EB Garamond" w:eastAsia="Noto Serif CJK JP" w:cs="EB Garamond"/>
          <w:color w:val="1F2D33"/>
          <w:sz w:val="18"/>
          <w:szCs w:val="18"/>
          <w:lang w:eastAsia="ja-JP" w:val="en-US"/>
        </w:rPr>
        <w:t xml:space="preserve">「未解決」はその中間にあるすべてを指します。回答は存在しても一部が欠けており、その不足部分には説明責任を負う人と期限が定められています。</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決定規則</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4084"/>
        <w:gridCol w:w="4083"/>
      </w:tblGrid>
      <w:tr>
        <w:trPr>
          <w:tblHeader w:val="true"/>
          <w:cantSplit/>
        </w:trPr>
        <w:tc>
          <w:tcPr>
            <w:tcW w:type="dxa" w:w="1673"/>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val="1"/>
                <w:color w:val="FFFFFF"/>
                <w:sz w:val="17"/>
                <w:szCs w:val="17"/>
                <w:bCs w:val="1"/>
                <w:i w:val="0"/>
                <w:iCs w:val="0"/>
                <w:lang w:eastAsia="ja-JP" w:val="en-US"/>
              </w:rPr>
              <w:t xml:space="preserve">回答の状態</w:t>
            </w:r>
          </w:p>
        </w:tc>
        <w:tc>
          <w:tcPr>
            <w:tcW w:type="dxa" w:w="4084"/>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val="1"/>
                <w:color w:val="FFFFFF"/>
                <w:sz w:val="17"/>
                <w:szCs w:val="17"/>
                <w:bCs w:val="1"/>
                <w:i w:val="0"/>
                <w:iCs w:val="0"/>
                <w:lang w:eastAsia="ja-JP" w:val="en-US"/>
              </w:rPr>
              <w:t xml:space="preserve">利用前</w:t>
            </w:r>
          </w:p>
        </w:tc>
        <w:tc>
          <w:tcPr>
            <w:tcW w:type="dxa" w:w="4083"/>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val="1"/>
                <w:color w:val="FFFFFF"/>
                <w:sz w:val="17"/>
                <w:szCs w:val="17"/>
                <w:bCs w:val="1"/>
                <w:i w:val="0"/>
                <w:iCs w:val="0"/>
                <w:lang w:eastAsia="ja-JP" w:val="en-US"/>
              </w:rPr>
              <w:t xml:space="preserve">利用中</w:t>
            </w:r>
          </w:p>
        </w:tc>
      </w:tr>
      <w:tr>
        <w:trPr>
          <w:cantSplit/>
        </w:trPr>
        <w:tc>
          <w:tcPr>
            <w:tcW w:type="dxa" w:w="167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一つでも「阻止条件」がある</w:t>
            </w:r>
          </w:p>
        </w:tc>
        <w:tc>
          <w:tcPr>
            <w:tcW w:type="dxa" w:w="4084"/>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委任しない</w:t>
            </w:r>
          </w:p>
        </w:tc>
        <w:tc>
          <w:tcPr>
            <w:tcW w:type="dxa" w:w="408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中止する</w:t>
            </w:r>
          </w:p>
        </w:tc>
      </w:tr>
      <w:tr>
        <w:trPr>
          <w:cantSplit/>
        </w:trPr>
        <w:tc>
          <w:tcPr>
            <w:tcW w:type="dxa" w:w="167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「阻止条件」はないが、一つでも「未解決」がある</w:t>
            </w:r>
          </w:p>
        </w:tc>
        <w:tc>
          <w:tcPr>
            <w:tcW w:type="dxa" w:w="4084"/>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可逆的な影響、説明責任を負う人、根拠、期限、停止の仕組みをあらかじめ明記したうえで、範囲を限定して試します。</w:t>
            </w:r>
          </w:p>
        </w:tc>
        <w:tc>
          <w:tcPr>
            <w:tcW w:type="dxa" w:w="408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可逆的な影響、説明責任を負う人、根拠、期限、停止の仕組みをあらかじめ明記したうえで、範囲を限定して試します。</w:t>
            </w:r>
          </w:p>
        </w:tc>
      </w:tr>
      <w:tr>
        <w:trPr>
          <w:cantSplit/>
        </w:trPr>
        <w:tc>
          <w:tcPr>
            <w:tcW w:type="dxa" w:w="167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すべて「十分」</w:t>
            </w:r>
          </w:p>
        </w:tc>
        <w:tc>
          <w:tcPr>
            <w:tcW w:type="dxa" w:w="4084"/>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条件と再審査日を定めれば「進める」が許されます。理由を示して「委任しない」を選ぶことも引き続き可能です</w:t>
            </w:r>
          </w:p>
        </w:tc>
        <w:tc>
          <w:tcPr>
            <w:tcW w:type="dxa" w:w="408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bCs w:val="0"/>
                <w:i w:val="0"/>
                <w:iCs w:val="0"/>
                <w:lang w:eastAsia="ja-JP" w:val="en-US"/>
              </w:rPr>
              <w:t xml:space="preserve">再審査日を維持したうえで「進める」が許されます</w:t>
            </w:r>
          </w:p>
        </w:tc>
      </w:tr>
    </w:tbl>
    <w:p>
      <w:pPr>
        <w:keepLines w:val="0"/>
        <w:spacing w:line="270" w:lineRule="atLeast"/>
        <w:wordWrap w:val="1"/>
      </w:pPr>
      <w:r>
        <w:rPr>
          <w:rFonts w:ascii="EB Garamond" w:hAnsi="EB Garamond" w:eastAsia="Noto Serif CJK JP" w:cs="EB Garamond"/>
          <w:color w:val="1F2D33"/>
          <w:sz w:val="18"/>
          <w:szCs w:val="18"/>
          <w:lang w:eastAsia="ja-JP" w:val="en-US"/>
        </w:rPr>
        <w:t xml:space="preserve">健康、自由、収入、教育、アイデンティティ、不可欠なサービス、安全が関わる場合、委任範囲、損害、救済、離脱についての「未解決」の回答は「阻止条件」として扱います。</w:t>
      </w:r>
    </w:p>
    <w:p>
      <w:pPr>
        <w:pStyle w:val="Heading1"/>
        <w:spacing w:line="460" w:lineRule="atLeast"/>
        <w:pageBreakBefore w:val="1"/>
        <w:wordWrap w:val="1"/>
      </w:pPr>
      <w:r>
        <w:rPr>
          <w:rFonts w:ascii="EB Garamond" w:hAnsi="EB Garamond" w:eastAsia="Noto Serif CJK JP" w:cs="EB Garamond"/>
          <w:sz w:val="40"/>
          <w:szCs w:val="40"/>
          <w:color w:val="183445"/>
          <w:lang w:eastAsia="ja-JP" w:val="en-US"/>
        </w:rPr>
        <w:t xml:space="preserve">2050年テスト記入シート</w:t>
      </w:r>
    </w:p>
    <w:p>
      <w:pPr>
        <w:keepLines w:val="0"/>
        <w:spacing w:line="270" w:lineRule="atLeast"/>
        <w:wordWrap w:val="1"/>
      </w:pPr>
      <w:r>
        <w:rPr>
          <w:rFonts w:ascii="EB Garamond" w:hAnsi="EB Garamond" w:eastAsia="Noto Serif CJK JP" w:cs="EB Garamond"/>
          <w:color w:val="1F2D33"/>
          <w:sz w:val="18"/>
          <w:szCs w:val="18"/>
          <w:lang w:eastAsia="ja-JP" w:val="en-US"/>
        </w:rPr>
        <w:t xml:space="preserve">記入シートで案件を特定し、七つの問いに答えた後、モニタリング、決定、再審査を記録します。日付を付した事実を記入してください。「十分」は明記した範囲内でのみ有効です。「未解決」については必要な根拠を示し、責任者と期限を定めます。「阻止条件」は認可範囲を狭めるか停止します。便益によって、救済、離脱、停止権限の欠如を相殺することはできません。</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428"/>
        <w:gridCol w:w="5412"/>
      </w:tblGrid>
      <w:tr>
        <w:trPr>
          <w:tblHeader w:val="true"/>
          <w:cantSplit/>
        </w:trPr>
        <w:tc>
          <w:tcPr>
            <w:tcW w:type="dxa" w:w="4428"/>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1ページ - 最低限の記入シート</w:t>
            </w:r>
          </w:p>
        </w:tc>
        <w:tc>
          <w:tcPr>
            <w:tcW w:type="dxa" w:w="5412"/>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記入欄</w:t>
            </w:r>
          </w:p>
        </w:tc>
      </w:tr>
      <w:tr>
        <w:trPr>
          <w:cantSplit/>
          <w:trHeight w:val="500" w:hRule="atLeast"/>
        </w:trPr>
        <w:tc>
          <w:tcPr>
            <w:tcW w:type="dxa" w:w="442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問題、受益者、成功基準</w:t>
            </w:r>
          </w:p>
        </w:tc>
        <w:tc>
          <w:tcPr>
            <w:tcW w:type="dxa" w:w="5412"/>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影響を受ける決定またはサービス</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システム、バージョン、提供事業者、主要な依存関係</w:t>
            </w:r>
          </w:p>
        </w:tc>
        <w:tc>
          <w:tcPr>
            <w:tcW w:type="dxa" w:w="5412"/>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340" w:hRule="atLeast"/>
        </w:trPr>
        <w:tc>
          <w:tcPr>
            <w:tcW w:type="dxa" w:w="442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求めるモード（業務に応じて組み合わせ可能）</w:t>
            </w:r>
          </w:p>
        </w:tc>
        <w:tc>
          <w:tcPr>
            <w:tcW w:type="dxa" w:w="5412"/>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t xml:space="preserve">[ ] 支援  [ ] 提案  [ ] 決定  [ ] 実行</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必要なデータと禁止するデータ</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影響を受ける人々と保護が弱い集団</w:t>
            </w:r>
          </w:p>
        </w:tc>
        <w:tc>
          <w:tcPr>
            <w:tcW w:type="dxa" w:w="5412"/>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許容できない帰結</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検証された理解可能性と使用した限界事例</w:t>
            </w:r>
          </w:p>
        </w:tc>
        <w:tc>
          <w:tcPr>
            <w:tcW w:type="dxa" w:w="5412"/>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一時停止権限と縮退モード</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作成者、役割、決定責任者</w:t>
            </w:r>
          </w:p>
        </w:tc>
        <w:tc>
          <w:tcPr>
            <w:tcW w:type="dxa" w:w="5412"/>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日付、再審査を開始する条件、予定終了日</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推定される損害発生までの時間</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測定された介入時間</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w:r>
          </w:p>
        </w:tc>
      </w:tr>
      <w:tr>
        <w:trPr>
          <w:cantSplit/>
          <w:trHeight w:val="34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介入時間 &lt; 損害発生までの時間？</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 はい  [ ] いいえ  [ ] 未測定</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導入しないコスト：誰が、どのくらい待ち、どのような損害を受けるか</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導入しないコストの状態</w:t>
            </w:r>
          </w:p>
        </w:tc>
        <w:tc>
          <w:tcPr>
            <w:tcW w:type="dxa" w:w="5412"/>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t xml:space="preserve">[ ] 十分   [ ] 未解決   [ ] 阻止条件</w:t>
            </w:r>
          </w:p>
          <w:p>
            <w:pPr>
              <w:spacing w:after="0" w:line="240" w:lineRule="auto"/>
              <w:wordWrap w:val="1"/>
            </w:pPr>
            <w:r>
              <w:rPr>
                <w:rFonts w:ascii="EB Garamond" w:hAnsi="EB Garamond" w:eastAsia="Noto Serif CJK JP" w:cs="EB Garamond"/>
                <w:b w:val="0"/>
                <w:color w:val="1F2D33"/>
                <w:sz w:val="17"/>
                <w:szCs w:val="17"/>
                <w:lang w:eastAsia="ja-JP" w:val="en-US"/>
              </w:rPr>
              <w:t xml:space="preserve">この状態は見積もりに付すものであり、目的、配分、損害の判断材料となります。八つ目の問いではありません。</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七つの問い - 目的と委任範囲</w:t>
      </w:r>
    </w:p>
    <w:p>
      <w:pPr>
        <w:pStyle w:val="Heading2"/>
        <w:spacing w:line="360" w:lineRule="atLeast"/>
        <w:wordWrap w:val="1"/>
      </w:pPr>
      <w:r>
        <w:rPr>
          <w:rFonts w:ascii="EB Garamond" w:hAnsi="EB Garamond" w:eastAsia="Noto Serif CJK JP" w:cs="EB Garamond"/>
          <w:sz w:val="30"/>
          <w:szCs w:val="30"/>
          <w:color w:val="B04A35"/>
          <w:lang w:eastAsia="ja-JP" w:val="en-US"/>
        </w:rPr>
        <w:t xml:space="preserve">1. 目的</w:t>
      </w:r>
    </w:p>
    <w:p>
      <w:pPr>
        <w:keepLines w:val="0"/>
        <w:spacing w:line="270" w:lineRule="atLeast"/>
        <w:wordWrap w:val="1"/>
      </w:pPr>
      <w:r>
        <w:rPr>
          <w:rFonts w:ascii="EB Garamond" w:hAnsi="EB Garamond" w:eastAsia="Noto Serif CJK JP" w:cs="EB Garamond"/>
          <w:color w:val="1F2D33"/>
          <w:sz w:val="18"/>
          <w:szCs w:val="18"/>
          <w:lang w:eastAsia="ja-JP" w:val="en-US"/>
        </w:rPr>
        <w:t xml:space="preserve">どのような観察可能な問題に、誰のために、どの改善基準で取り組みますか？ より介入の少ないどの代替策と、介入しない場合のどのコストを比較しましたか？</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pPr>
        <w:pStyle w:val="Heading2"/>
        <w:spacing w:line="360" w:lineRule="atLeast"/>
        <w:wordWrap w:val="1"/>
      </w:pPr>
      <w:r>
        <w:rPr>
          <w:rFonts w:ascii="EB Garamond" w:hAnsi="EB Garamond" w:eastAsia="Noto Serif CJK JP" w:cs="EB Garamond"/>
          <w:sz w:val="30"/>
          <w:szCs w:val="30"/>
          <w:color w:val="B04A35"/>
          <w:lang w:eastAsia="ja-JP" w:val="en-US"/>
        </w:rPr>
        <w:t xml:space="preserve">2. 委任範囲</w:t>
      </w:r>
    </w:p>
    <w:p>
      <w:pPr>
        <w:keepLines w:val="0"/>
        <w:spacing w:line="270" w:lineRule="atLeast"/>
        <w:wordWrap w:val="1"/>
      </w:pPr>
      <w:r>
        <w:rPr>
          <w:rFonts w:ascii="EB Garamond" w:hAnsi="EB Garamond" w:eastAsia="Noto Serif CJK JP" w:cs="EB Garamond"/>
          <w:color w:val="1F2D33"/>
          <w:sz w:val="18"/>
          <w:szCs w:val="18"/>
          <w:lang w:eastAsia="ja-JP" w:val="en-US"/>
        </w:rPr>
        <w:t xml:space="preserve">業務ごとに、システムは「支援」「提案」「決定」「実行」のどのモードで動きますか？ どのデータ、関係者、場所、期間、処理量がその権限の範囲を定めますか？ どの行為が禁止され、停止できるのは誰ですか？</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七つの問い - 根拠と配分</w:t>
      </w:r>
    </w:p>
    <w:p>
      <w:pPr>
        <w:pStyle w:val="Heading2"/>
        <w:spacing w:line="360" w:lineRule="atLeast"/>
        <w:wordWrap w:val="1"/>
      </w:pPr>
      <w:r>
        <w:rPr>
          <w:rFonts w:ascii="EB Garamond" w:hAnsi="EB Garamond" w:eastAsia="Noto Serif CJK JP" w:cs="EB Garamond"/>
          <w:sz w:val="30"/>
          <w:szCs w:val="30"/>
          <w:color w:val="B04A35"/>
          <w:lang w:eastAsia="ja-JP" w:val="en-US"/>
        </w:rPr>
        <w:t xml:space="preserve">3. 根拠</w:t>
      </w:r>
    </w:p>
    <w:p>
      <w:pPr>
        <w:keepLines w:val="0"/>
        <w:spacing w:line="270" w:lineRule="atLeast"/>
        <w:wordWrap w:val="1"/>
      </w:pPr>
      <w:r>
        <w:rPr>
          <w:rFonts w:ascii="EB Garamond" w:hAnsi="EB Garamond" w:eastAsia="Noto Serif CJK JP" w:cs="EB Garamond"/>
          <w:color w:val="1F2D33"/>
          <w:sz w:val="18"/>
          <w:szCs w:val="18"/>
          <w:lang w:eastAsia="ja-JP" w:val="en-US"/>
        </w:rPr>
        <w:t xml:space="preserve">どの情報源、データ、その文脈での性能、限界、失敗事例が、その選択を裏づけていますか？ 理解可能性は、利用できる時間内に、通常の事例と限界事例を一つずつ用いて検証されましたか？</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pPr>
        <w:pStyle w:val="Heading2"/>
        <w:spacing w:line="360" w:lineRule="atLeast"/>
        <w:wordWrap w:val="1"/>
      </w:pPr>
      <w:r>
        <w:rPr>
          <w:rFonts w:ascii="EB Garamond" w:hAnsi="EB Garamond" w:eastAsia="Noto Serif CJK JP" w:cs="EB Garamond"/>
          <w:sz w:val="30"/>
          <w:szCs w:val="30"/>
          <w:color w:val="B04A35"/>
          <w:lang w:eastAsia="ja-JP" w:val="en-US"/>
        </w:rPr>
        <w:t xml:space="preserve">4. 配分</w:t>
      </w:r>
    </w:p>
    <w:p>
      <w:pPr>
        <w:keepLines w:val="0"/>
        <w:spacing w:line="270" w:lineRule="atLeast"/>
        <w:wordWrap w:val="1"/>
      </w:pPr>
      <w:r>
        <w:rPr>
          <w:rFonts w:ascii="EB Garamond" w:hAnsi="EB Garamond" w:eastAsia="Noto Serif CJK JP" w:cs="EB Garamond"/>
          <w:color w:val="1F2D33"/>
          <w:sz w:val="18"/>
          <w:szCs w:val="18"/>
          <w:lang w:eastAsia="ja-JP" w:val="en-US"/>
        </w:rPr>
        <w:t xml:space="preserve">誰が便益、時間、権力を得て、誰が労働、リスク、物的コスト、研修負担、結果への異議申立ての困難を引き受けますか？ 是正中、また権限委譲が始まらない場合、その費用を負担するのは誰ですか？</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七つの問い - 損害と救済</w:t>
      </w:r>
    </w:p>
    <w:p>
      <w:pPr>
        <w:pStyle w:val="Heading2"/>
        <w:spacing w:line="360" w:lineRule="atLeast"/>
        <w:wordWrap w:val="1"/>
      </w:pPr>
      <w:r>
        <w:rPr>
          <w:rFonts w:ascii="EB Garamond" w:hAnsi="EB Garamond" w:eastAsia="Noto Serif CJK JP" w:cs="EB Garamond"/>
          <w:sz w:val="30"/>
          <w:szCs w:val="30"/>
          <w:color w:val="B04A35"/>
          <w:lang w:eastAsia="ja-JP" w:val="en-US"/>
        </w:rPr>
        <w:t xml:space="preserve">5. 損害</w:t>
      </w:r>
    </w:p>
    <w:p>
      <w:pPr>
        <w:keepLines w:val="0"/>
        <w:spacing w:line="270" w:lineRule="atLeast"/>
        <w:wordWrap w:val="1"/>
      </w:pPr>
      <w:r>
        <w:rPr>
          <w:rFonts w:ascii="EB Garamond" w:hAnsi="EB Garamond" w:eastAsia="Noto Serif CJK JP" w:cs="EB Garamond"/>
          <w:color w:val="1F2D33"/>
          <w:sz w:val="18"/>
          <w:szCs w:val="18"/>
          <w:lang w:eastAsia="ja-JP" w:val="en-US"/>
        </w:rPr>
        <w:t xml:space="preserve">現実に起こり得る失敗にはどのようなものがあり、その深刻度と可逆性はどの程度で、修正が難しくなるまでにどれほどの時間がありますか？ 許容できないのはどのしきい値で、どのような修復がなお可能ですか？</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pPr>
        <w:pStyle w:val="Heading2"/>
        <w:spacing w:line="360" w:lineRule="atLeast"/>
        <w:wordWrap w:val="1"/>
      </w:pPr>
      <w:r>
        <w:rPr>
          <w:rFonts w:ascii="EB Garamond" w:hAnsi="EB Garamond" w:eastAsia="Noto Serif CJK JP" w:cs="EB Garamond"/>
          <w:sz w:val="30"/>
          <w:szCs w:val="30"/>
          <w:color w:val="B04A35"/>
          <w:lang w:eastAsia="ja-JP" w:val="en-US"/>
        </w:rPr>
        <w:t xml:space="preserve">6. 救済</w:t>
      </w:r>
    </w:p>
    <w:p>
      <w:pPr>
        <w:keepLines w:val="0"/>
        <w:spacing w:line="270" w:lineRule="atLeast"/>
        <w:wordWrap w:val="1"/>
      </w:pPr>
      <w:r>
        <w:rPr>
          <w:rFonts w:ascii="EB Garamond" w:hAnsi="EB Garamond" w:eastAsia="Noto Serif CJK JP" w:cs="EB Garamond"/>
          <w:color w:val="1F2D33"/>
          <w:sz w:val="18"/>
          <w:szCs w:val="18"/>
          <w:lang w:eastAsia="ja-JP" w:val="en-US"/>
        </w:rPr>
        <w:t xml:space="preserve">結果の影響を受ける人は、理解できる通知を受け取り、訂正可能な事項にアクセスできますか？ その人は、結果の一時停止または変更を行い、理由を伝える権限を持つ適任の再審査担当者に、間に合ううちにたどり着けますか？</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七つの問い - 離脱とモニタリング</w:t>
      </w:r>
    </w:p>
    <w:p>
      <w:pPr>
        <w:pStyle w:val="Heading2"/>
        <w:spacing w:line="360" w:lineRule="atLeast"/>
        <w:wordWrap w:val="1"/>
      </w:pPr>
      <w:r>
        <w:rPr>
          <w:rFonts w:ascii="EB Garamond" w:hAnsi="EB Garamond" w:eastAsia="Noto Serif CJK JP" w:cs="EB Garamond"/>
          <w:sz w:val="30"/>
          <w:szCs w:val="30"/>
          <w:color w:val="B04A35"/>
          <w:lang w:eastAsia="ja-JP" w:val="en-US"/>
        </w:rPr>
        <w:t xml:space="preserve">7. 離脱</w:t>
      </w:r>
    </w:p>
    <w:p>
      <w:pPr>
        <w:keepLines w:val="0"/>
        <w:spacing w:line="270" w:lineRule="atLeast"/>
        <w:wordWrap w:val="1"/>
      </w:pPr>
      <w:r>
        <w:rPr>
          <w:rFonts w:ascii="EB Garamond" w:hAnsi="EB Garamond" w:eastAsia="Noto Serif CJK JP" w:cs="EB Garamond"/>
          <w:color w:val="1F2D33"/>
          <w:sz w:val="18"/>
          <w:szCs w:val="18"/>
          <w:lang w:eastAsia="ja-JP" w:val="en-US"/>
        </w:rPr>
        <w:t xml:space="preserve">データ、権利、不可欠なサービスを維持したまま、システムを停止または別の手段に置き換えられますか？ 設定、アクセス権限、記録は再利用できますか？ 縮退モードは検証済みですか？ 最後の実地検証はいつ行われ、その費用を負担するのは誰ですか？</w:t>
      </w:r>
    </w:p>
    <w:p>
      <w:pPr>
        <w:spacing w:after="40" w:line="270" w:lineRule="atLeast"/>
        <w:wordWrap w:val="1"/>
      </w:pPr>
      <w:r>
        <w:rPr>
          <w:rFonts w:ascii="EB Garamond" w:hAnsi="EB Garamond" w:eastAsia="Noto Serif CJK JP" w:cs="EB Garamond"/>
          <w:b/>
          <w:color w:val="183445"/>
          <w:sz w:val="21"/>
          <w:szCs w:val="21"/>
          <w:lang w:eastAsia="ja-JP" w:val="en-US"/>
        </w:rPr>
        <w:t xml:space="preserve">切り替えのコスト（時間、金銭）：________________________</w:t>
      </w:r>
    </w:p>
    <w:p>
      <w:pPr>
        <w:spacing w:after="40" w:line="270" w:lineRule="atLeast"/>
        <w:wordWrap w:val="1"/>
      </w:pPr>
      <w:r>
        <w:rPr>
          <w:rFonts w:ascii="EB Garamond" w:hAnsi="EB Garamond" w:eastAsia="Noto Serif CJK JP" w:cs="EB Garamond"/>
          <w:b/>
          <w:color w:val="183445"/>
          <w:sz w:val="21"/>
          <w:szCs w:val="21"/>
          <w:lang w:eastAsia="ja-JP" w:val="en-US"/>
        </w:rPr>
        <w:t xml:space="preserve">ポータビリティテストの実施日：________________________</w:t>
      </w:r>
    </w:p>
    <w:p>
      <w:pPr>
        <w:spacing w:after="40" w:line="270" w:lineRule="atLeast"/>
        <w:wordWrap w:val="1"/>
      </w:pPr>
      <w:r>
        <w:rPr>
          <w:rFonts w:ascii="EB Garamond" w:hAnsi="EB Garamond" w:eastAsia="Noto Serif CJK JP" w:cs="EB Garamond"/>
          <w:b/>
          <w:color w:val="183445"/>
          <w:sz w:val="21"/>
          <w:szCs w:val="21"/>
          <w:lang w:eastAsia="ja-JP" w:val="en-US"/>
        </w:rPr>
        <w:t xml:space="preserve">業務のうち引き続き手作業で行っている割合：________________________</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根拠となる事実、文書、バージョン、日付：</w:t>
            </w:r>
          </w:p>
        </w:tc>
      </w:tr>
      <w:tr>
        <w:trPr>
          <w:cantSplit/>
          <w:trHeight w:val="115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pPr>
        <w:spacing w:after="40" w:line="270" w:lineRule="atLeast"/>
        <w:wordWrap w:val="1"/>
      </w:pPr>
      <w:r>
        <w:rPr>
          <w:rFonts w:ascii="EB Garamond" w:hAnsi="EB Garamond" w:eastAsia="Noto Serif CJK JP" w:cs="EB Garamond"/>
          <w:b/>
          <w:color w:val="183445"/>
          <w:sz w:val="21"/>
          <w:szCs w:val="21"/>
          <w:lang w:eastAsia="ja-JP" w:val="en-US"/>
        </w:rPr>
        <w:t xml:space="preserve">回答の状態：  [ ] 十分   [ ] 未解決   [ ] 阻止条件</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理由、範囲の限界、根拠が不足している場合の責任者、期限、帰結（必要な停止措置も含む）：</w:t>
            </w:r>
          </w:p>
        </w:tc>
      </w:tr>
      <w:tr>
        <w:trPr>
          <w:cantSplit/>
          <w:trHeight w:val="720" w:hRule="atLeast"/>
        </w:trPr>
        <w:tc>
          <w:tcPr>
            <w:tcW w:type="dxa" w:w="9840"/>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p>
            <w:pPr>
              <w:spacing w:after="0" w:line="240" w:lineRule="auto" w:before="240"/>
              <w:wordWrap w:val="1"/>
            </w:pPr>
            <w:r>
              <w:rPr>
                <w:rFonts w:ascii="EB Garamond" w:hAnsi="EB Garamond" w:eastAsia="Noto Serif CJK JP" w:cs="EB Garamond"/>
                <w:b w:val="0"/>
                <w:color w:val="1F2D33"/>
                <w:sz w:val="17"/>
                <w:szCs w:val="17"/>
                <w:lang w:eastAsia="ja-JP" w:val="en-US"/>
              </w:rPr>
              <w:t xml:space="preserve">阻止条件：是正措置 / 変更すべき条件 / 再評価：________________________</w:t>
            </w:r>
          </w:p>
        </w:tc>
      </w:tr>
    </w:tbl>
    <w:p>
      <w:pPr>
        <w:spacing w:after="0"/>
        <w:wordWrap w:val="1"/>
      </w:pPr>
    </w:p>
    <w:p>
      <w:pPr>
        <w:pStyle w:val="Heading2"/>
        <w:spacing w:line="360" w:lineRule="atLeast"/>
        <w:wordWrap w:val="1"/>
      </w:pPr>
      <w:r>
        <w:rPr>
          <w:rFonts w:ascii="EB Garamond" w:hAnsi="EB Garamond" w:eastAsia="Noto Serif CJK JP" w:cs="EB Garamond"/>
          <w:sz w:val="30"/>
          <w:szCs w:val="30"/>
          <w:color w:val="B04A35"/>
          <w:lang w:eastAsia="ja-JP" w:val="en-US"/>
        </w:rPr>
        <w:t xml:space="preserve">ライフサイクルのモニタリングへ</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231"/>
        <w:gridCol w:w="5609"/>
      </w:tblGrid>
      <w:tr>
        <w:trPr>
          <w:tblHeader w:val="true"/>
          <w:cantSplit/>
        </w:trPr>
        <w:tc>
          <w:tcPr>
            <w:tcW w:type="dxa" w:w="4231"/>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モニタリング項目</w:t>
            </w:r>
          </w:p>
        </w:tc>
        <w:tc>
          <w:tcPr>
            <w:tcW w:type="dxa" w:w="5609"/>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更新内容</w:t>
            </w:r>
          </w:p>
        </w:tc>
      </w:tr>
      <w:tr>
        <w:trPr>
          <w:cantSplit/>
          <w:trHeight w:val="440" w:hRule="atLeast"/>
        </w:trPr>
        <w:tc>
          <w:tcPr>
            <w:tcW w:type="dxa" w:w="423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現在の委任範囲、モード、バージョン</w:t>
            </w:r>
          </w:p>
        </w:tc>
        <w:tc>
          <w:tcPr>
            <w:tcW w:type="dxa" w:w="5609"/>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記入シートと比較した、観察された便益と損害</w:t>
            </w:r>
          </w:p>
        </w:tc>
        <w:tc>
          <w:tcPr>
            <w:tcW w:type="dxa" w:w="5609"/>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23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例外、インシデント、救済申立て、是正</w:t>
            </w:r>
          </w:p>
        </w:tc>
        <w:tc>
          <w:tcPr>
            <w:tcW w:type="dxa" w:w="5609"/>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監督負荷、研修、残存能力</w:t>
            </w:r>
          </w:p>
        </w:tc>
        <w:tc>
          <w:tcPr>
            <w:tcW w:type="dxa" w:w="5609"/>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23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最後の離脱テスト：日付、結果、転嫁されたコスト</w:t>
            </w:r>
          </w:p>
        </w:tc>
        <w:tc>
          <w:tcPr>
            <w:tcW w:type="dxa" w:w="5609"/>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範囲縮小または中止のしきい値に到達したか</w:t>
            </w:r>
          </w:p>
        </w:tc>
        <w:tc>
          <w:tcPr>
            <w:tcW w:type="dxa" w:w="5609"/>
            <w:vAlign w:val="center"/>
            <w:tcMar>
              <w:top w:w="65" w:type="dxa"/>
              <w:start w:w="120" w:type="dxa"/>
              <w:bottom w:w="65" w:type="dxa"/>
              <w:end w:w="120" w:type="dxa"/>
            </w:tcMar>
            <w:shd w:fill="EFF2F3"/>
          </w:tcPr>
          <w:p>
            <w:pPr>
              <w:spacing w:after="0" w:line="240" w:lineRule="auto"/>
              <w:wordWrap w:val="1"/>
            </w:pPr>
            <w:r>
              <w:rPr>
                <w:rFonts w:ascii="EB Garamond" w:hAnsi="EB Garamond" w:eastAsia="Noto Serif CJK JP" w:cs="EB Garamond"/>
                <w:b w:val="0"/>
                <w:color w:val="1F2D33"/>
                <w:sz w:val="17"/>
                <w:szCs w:val="17"/>
                <w:lang w:eastAsia="ja-JP" w:val="en-US"/>
              </w:rPr>
            </w:r>
          </w:p>
        </w:tc>
      </w:tr>
      <w:tr>
        <w:trPr>
          <w:cantSplit/>
          <w:trHeight w:val="440" w:hRule="atLeast"/>
        </w:trPr>
        <w:tc>
          <w:tcPr>
            <w:tcW w:type="dxa" w:w="4231"/>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責任者と次回の再審査</w:t>
            </w:r>
          </w:p>
        </w:tc>
        <w:tc>
          <w:tcPr>
            <w:tcW w:type="dxa" w:w="5609"/>
            <w:vAlign w:val="center"/>
            <w:tcMar>
              <w:top w:w="65" w:type="dxa"/>
              <w:start w:w="120" w:type="dxa"/>
              <w:bottom w:w="65" w:type="dxa"/>
              <w:end w:w="120" w:type="dxa"/>
            </w:tcMar>
          </w:tcPr>
          <w:p>
            <w:pPr>
              <w:spacing w:after="0" w:line="240" w:lineRule="auto"/>
              <w:wordWrap w:val="1"/>
            </w:pPr>
            <w:r>
              <w:rPr>
                <w:rFonts w:ascii="EB Garamond" w:hAnsi="EB Garamond" w:eastAsia="Noto Serif CJK JP" w:cs="EB Garamond"/>
                <w:b w:val="0"/>
                <w:color w:val="1F2D33"/>
                <w:sz w:val="17"/>
                <w:szCs w:val="17"/>
                <w:lang w:eastAsia="ja-JP" w:val="en-US"/>
              </w:rPr>
            </w:r>
          </w:p>
        </w:tc>
      </w:tr>
    </w:tbl>
    <w:p>
      <w:pPr>
        <w:spacing w:after="0"/>
        <w:wordWrap w:val="1"/>
      </w:pPr>
    </w:p>
    <w:p>
      <w:r>
        <w:br w:type="page"/>
        <w:rPr>
          <w:rFonts w:ascii="EB Garamond" w:hAnsi="EB Garamond" w:eastAsia="Noto Serif CJK JP" w:cs="EB Garamond"/>
          <w:sz w:val="21"/>
          <w:szCs w:val="21"/>
          <w:lang w:eastAsia="ja-JP" w:val="en-US"/>
        </w:rPr>
      </w:r>
      <w:pPr>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決定と条件</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543"/>
        <w:gridCol w:w="6297"/>
      </w:tblGrid>
      <w:tr>
        <w:trPr>
          <w:tblHeader w:val="true"/>
          <w:cantSplit/>
        </w:trPr>
        <w:tc>
          <w:tcPr>
            <w:tcW w:type="dxa" w:w="3543"/>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項目</w:t>
            </w:r>
          </w:p>
        </w:tc>
        <w:tc>
          <w:tcPr>
            <w:tcW w:type="dxa" w:w="6297"/>
            <w:vAlign w:val="center"/>
            <w:tcMar>
              <w:top w:w="65" w:type="dxa"/>
              <w:start w:w="120" w:type="dxa"/>
              <w:bottom w:w="65" w:type="dxa"/>
              <w:end w:w="120" w:type="dxa"/>
            </w:tcMar>
            <w:shd w:fill="123044"/>
          </w:tcPr>
          <w:p>
            <w:pPr>
              <w:spacing w:after="0" w:line="210" w:lineRule="atLeast"/>
              <w:wordWrap w:val="1"/>
            </w:pPr>
            <w:r>
              <w:rPr>
                <w:rFonts w:ascii="EB Garamond" w:hAnsi="EB Garamond" w:eastAsia="Noto Serif CJK JP" w:cs="EB Garamond"/>
                <w:b/>
                <w:color w:val="FFFFFF"/>
                <w:sz w:val="17"/>
                <w:szCs w:val="17"/>
                <w:lang w:eastAsia="ja-JP" w:val="en-US"/>
              </w:rPr>
              <w:t xml:space="preserve">決定と条件</w:t>
            </w:r>
          </w:p>
        </w:tc>
      </w:tr>
      <w:tr>
        <w:trPr>
          <w:cantSplit/>
          <w:trHeight w:val="520" w:hRule="atLeast"/>
        </w:trPr>
        <w:tc>
          <w:tcPr>
            <w:tcW w:type="dxa" w:w="3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組織としての決定</w:t>
            </w:r>
          </w:p>
        </w:tc>
        <w:tc>
          <w:tcPr>
            <w:tcW w:type="dxa" w:w="6297"/>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 ] 進める [ ] 範囲を限定して試す [ ] 委任しない [ ] 中止する</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理由</w:t>
            </w:r>
          </w:p>
        </w:tc>
        <w:tc>
          <w:tcPr>
            <w:tcW w:type="dxa" w:w="6297"/>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決定的な根拠、「阻止条件」とされた条件、導入コスト、導入しないコスト。</w:t>
            </w:r>
          </w:p>
        </w:tc>
      </w:tr>
      <w:tr>
        <w:trPr>
          <w:cantSplit/>
          <w:trHeight w:val="520" w:hRule="atLeast"/>
        </w:trPr>
        <w:tc>
          <w:tcPr>
            <w:tcW w:type="dxa" w:w="3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認可する範囲</w:t>
            </w:r>
          </w:p>
        </w:tc>
        <w:tc>
          <w:tcPr>
            <w:tcW w:type="dxa" w:w="6297"/>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業務、モード、データ、関係者、場所、期間、処理量。</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禁止または人に留保する行為</w:t>
            </w:r>
          </w:p>
        </w:tc>
        <w:tc>
          <w:tcPr>
            <w:tcW w:type="dxa" w:w="6297"/>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人に割り当てたままにするもの、またはシステムの対象外とするもの。</w:t>
            </w:r>
          </w:p>
        </w:tc>
      </w:tr>
      <w:tr>
        <w:trPr>
          <w:cantSplit/>
          <w:trHeight w:val="520" w:hRule="atLeast"/>
        </w:trPr>
        <w:tc>
          <w:tcPr>
            <w:tcW w:type="dxa" w:w="3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開始前の条件</w:t>
            </w:r>
          </w:p>
        </w:tc>
        <w:tc>
          <w:tcPr>
            <w:tcW w:type="dxa" w:w="6297"/>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不足する根拠、責任者、期限、条件を満たさない場合の帰結。</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モニタリング</w:t>
            </w:r>
          </w:p>
        </w:tc>
        <w:tc>
          <w:tcPr>
            <w:tcW w:type="dxa" w:w="6297"/>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指標、バージョン、例外、監督負荷、しきい値。</w:t>
            </w:r>
          </w:p>
        </w:tc>
      </w:tr>
      <w:tr>
        <w:trPr>
          <w:cantSplit/>
          <w:trHeight w:val="520" w:hRule="atLeast"/>
        </w:trPr>
        <w:tc>
          <w:tcPr>
            <w:tcW w:type="dxa" w:w="3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縮退モードと停止</w:t>
            </w:r>
          </w:p>
        </w:tc>
        <w:tc>
          <w:tcPr>
            <w:tcW w:type="dxa" w:w="6297"/>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継続するサービス、合図、権限者、最長時間。</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救済と是正</w:t>
            </w:r>
          </w:p>
        </w:tc>
        <w:tc>
          <w:tcPr>
            <w:tcW w:type="dxa" w:w="6297"/>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窓口、決定責任者、期限、可能な変更、是正の反映範囲。</w:t>
            </w:r>
          </w:p>
        </w:tc>
      </w:tr>
      <w:tr>
        <w:trPr>
          <w:cantSplit/>
          <w:trHeight w:val="520" w:hRule="atLeast"/>
        </w:trPr>
        <w:tc>
          <w:tcPr>
            <w:tcW w:type="dxa" w:w="3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維持する代替策と「しない」コスト</w:t>
            </w:r>
          </w:p>
        </w:tc>
        <w:tc>
          <w:tcPr>
            <w:tcW w:type="dxa" w:w="6297"/>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権限委譲を始めない、または中止した場合に利用できる業務、サービス、手続。</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color w:val="1F2D33"/>
                <w:sz w:val="17"/>
                <w:szCs w:val="17"/>
                <w:lang w:eastAsia="ja-JP" w:val="en-US"/>
              </w:rPr>
              <w:t xml:space="preserve">再審査</w:t>
            </w:r>
          </w:p>
        </w:tc>
        <w:tc>
          <w:tcPr>
            <w:tcW w:type="dxa" w:w="6297"/>
            <w:vAlign w:val="center"/>
            <w:tcMar>
              <w:top w:w="65" w:type="dxa"/>
              <w:start w:w="120" w:type="dxa"/>
              <w:bottom w:w="65" w:type="dxa"/>
              <w:end w:w="120" w:type="dxa"/>
            </w:tcMar>
            <w:shd w:fill="EFF2F3"/>
          </w:tcPr>
          <w:p>
            <w:pPr>
              <w:spacing w:after="0" w:line="210" w:lineRule="atLeast"/>
              <w:wordWrap w:val="1"/>
            </w:pPr>
            <w:r>
              <w:rPr>
                <w:rFonts w:ascii="EB Garamond" w:hAnsi="EB Garamond" w:eastAsia="Noto Serif CJK JP" w:cs="EB Garamond"/>
                <w:b w:val="0"/>
                <w:color w:val="1F2D33"/>
                <w:sz w:val="17"/>
                <w:szCs w:val="17"/>
                <w:lang w:eastAsia="ja-JP" w:val="en-US"/>
              </w:rPr>
              <w:t xml:space="preserve">日付、または前倒し再審査を開始する事象。前版から始め、根拠、しきい値、変更点を示します。</w:t>
            </w:r>
          </w:p>
        </w:tc>
      </w:tr>
      <w:tr>
        <w:trPr>
          <w:cantSplit/>
          <w:trHeight w:val="520" w:hRule="atLeast"/>
        </w:trPr>
        <w:tc>
          <w:tcPr>
            <w:tcW w:type="dxa" w:w="3543"/>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color w:val="1F2D33"/>
                <w:sz w:val="17"/>
                <w:szCs w:val="17"/>
                <w:lang w:eastAsia="ja-JP" w:val="en-US"/>
              </w:rPr>
              <w:t xml:space="preserve">責任</w:t>
            </w:r>
          </w:p>
        </w:tc>
        <w:tc>
          <w:tcPr>
            <w:tcW w:type="dxa" w:w="6297"/>
            <w:vAlign w:val="center"/>
            <w:tcMar>
              <w:top w:w="65" w:type="dxa"/>
              <w:start w:w="120" w:type="dxa"/>
              <w:bottom w:w="65" w:type="dxa"/>
              <w:end w:w="120" w:type="dxa"/>
            </w:tcMar>
          </w:tcPr>
          <w:p>
            <w:pPr>
              <w:spacing w:after="0" w:line="210" w:lineRule="atLeast"/>
              <w:wordWrap w:val="1"/>
            </w:pPr>
            <w:r>
              <w:rPr>
                <w:rFonts w:ascii="EB Garamond" w:hAnsi="EB Garamond" w:eastAsia="Noto Serif CJK JP" w:cs="EB Garamond"/>
                <w:b w:val="0"/>
                <w:color w:val="1F2D33"/>
                <w:sz w:val="17"/>
                <w:szCs w:val="17"/>
                <w:lang w:eastAsia="ja-JP" w:val="en-US"/>
              </w:rPr>
              <w:t xml:space="preserve">氏名、役割、記録した異論、署名、日付。</w:t>
            </w:r>
          </w:p>
        </w:tc>
      </w:tr>
    </w:tbl>
    <w:p>
      <w:pPr>
        <w:spacing w:after="0"/>
        <w:wordWrap w:val="1"/>
      </w:pPr>
    </w:p>
    <w:sectPr>
      <w:headerReference w:type="default" r:id="rId9"/>
      <w:footerReference w:type="default" r:id="rId10"/>
      <w:footerReference w:type="first" r:id="rId11"/>
      <w:headerReference w:type="first" r:id="rId13"/>
      <w:pgSz w:w="11905" w:h="16838"/>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実践ワークブック</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ordWrap w:val="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ja/2050/resources/" TargetMode="External"/><Relationship Id="rId13"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実践ワークブック | JA-R2.3 | 日本語 | English source V51.2</dc:title>
  <dc:subject>実践ワークブック | JA-R2.3 | 日本語 | English source V51.2</dc:subject>
  <dc:creator>Marco De Prosperis</dc:creator>
  <cp:keywords>2050, EN-US-R2.3, July 2026 documentary snapshot, revised English interior</cp:keywords>
  <dc:description>実践ワークブック | JA-R2.3 | 日本語 | English source V51.2</dc:description>
  <cp:lastModifiedBy>Corner Italiano LLC</cp:lastModifiedBy>
  <cp:revision>2</cp:revision>
  <dcterms:created xsi:type="dcterms:W3CDTF">2013-12-23T23:15:00Z</dcterms:created>
  <dcterms:modified xsi:type="dcterms:W3CDTF">2026-09-10T15:55:33Z</dcterms:modified>
  <cp:category/>
  <dc:language>ja-JP</dc:language>
</cp:coreProperties>
</file>