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重要年表</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AIの誕生から2050年の物語上の転換点まで</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事実、要約、規制、シナリオ</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方法  この年表は、本書を読み進める助けとなる節目を選んでいます。各項目には、歴史的事実または要約、規制上の事実、物語上のシナリオ、著者の提案のいずれかを明示します。技術文献は歴史的事実の中で区別します。2026年7月30日より後の法的な日付には「予定」と記しています。</w:t>
            </w:r>
          </w:p>
        </w:tc>
      </w:tr>
    </w:tbl>
    <w:p>
      <w:pPr>
        <w:spacing w:after="0"/>
        <w:wordWrap w:val="1"/>
      </w:pP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165"/>
        <w:gridCol w:w="7675"/>
      </w:tblGrid>
      <w:tr>
        <w:trPr>
          <w:tblHeader w:val="true"/>
          <w:cantSplit/>
        </w:trPr>
        <w:tc>
          <w:tcPr>
            <w:tcW w:type="dxa" w:w="2165"/>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日付または時期</w:t>
            </w:r>
          </w:p>
        </w:tc>
        <w:tc>
          <w:tcPr>
            <w:tcW w:type="dxa" w:w="7675"/>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節目と区分</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1950</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歴史的事実。Alan Turingは「Computing Machinery and Intelligence」を発表し、「機械は考えられるか」という抽象的な問いを模倣ゲームに置き換え、観察可能な振る舞いへ注意を向けます。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1955-1956</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歴史的事実。John McCarthy、Marvin Minsky、Nathaniel Rochester、Claude Shannonがダートマスの夏期研究会の提案を準備し、「人工知能」という表現が新たな研究分野の旗印となります。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1950年代後半</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歴史的要約。Frank Rosenblattのパーセプトロンは、機械が事例から学べるという考えを後押ししますが、ハードウェア、データ、方法にはなお限界があります。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1966</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歴史的事実。Joseph WeizenbaumがELIZAを発表します。規則とキーワードによって、耳を傾けているかのような驚くほど強い印象を生み出す、単純なプログラムです。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1969</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歴史的事実と要約。Marvin MinskyとSeymour Papertが単純なパーセプトロンの限界を分析します。その後のAIの冬にも、約束、資金、計算能力、成果の間の隔たりが反映されています。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1969</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基盤の歴史。ARPANETが二つのノード間で最初のメッセージを送信し、パケット交換ネットワークを実現するとともに、より広い通信アーキテクチャへの道を開きます。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1983年1月1日</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ARPANETがTCP/IPへの移行を完了します。共通のプロトコル群を通じて異なるネットワークが通信できるようになり、ネットワークのネットワークとしてのインターネットへ向けた決定的な一歩となり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1986</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歴史的事実。David Rumelhart、Geoffrey Hinton、Ronald Williamsが、誤差逆伝播法によって多層ネットワークを学習させる方法を示し、大きな影響を与えます。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1989-1991</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基盤の歴史。Tim Berners-Leeが1989年にCERNでWorld Wide Webを提案し、最初のブラウザーとサーバーを開発します。1991年にはプロジェクトが研究所の外へ広がり始め、ネットワークをハイパーテキストによる閲覧に開きます。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1997</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歴史的事実。Deep Blueが六局の対戦でGarry Kasparovを破り、規則が閉じた領域での計算の力を広く一般に示します。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1990年代から2000年代初頭</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インターネット、Web、モバイルサービスが、ネットワークを専門家の環境から日常の基盤へ変えます。アーカイブ、アイデンティティ、通信、サービスは、相互につながるシステムへの依存を深め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2012</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歴史的事実。AlexNetが画像処理装置を用いてImageNetコンペティションで著しく優れた結果を達成し、画像認識における深層学習の加速を明らかにします。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2017</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歴史的事実。「Attention Is All You Need」がTransformerアーキテクチャを提示します。これは大規模言語モデルと多くの生成システムの中心となります。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2022年11月30日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歴史的事実。ChatGPTが研究プレビューとして一般公開され、対話型AIが日常的な規模で利用できるようになります。</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2010年代と2020年代</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歴史的要約。クラウドサービス、データセンター、API、プラットフォーム、接続された物が結び付き、仕事、医療、行政、移動、情報が依存する、ますます見えにくい基盤を形成します。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2024年8月1日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 Actとして知られる規則（EU）2024/1689が発効します。規定は段階的に適用され、この日付はすべての義務が一斉に効力を持つことを意味しません。</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2025年2月2日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 Actの禁止行為に関する規定と、当初のAIリテラシー義務の適用が始まります。その後、2026年7月の改正により、第4条はAIリテラシーの育成を支援する義務へと改められます。[SRC-S34-001] [SRC-EU-AI-OMNIBUS26]</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2025年5月15日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歴史的事実、技術規格。W3CがVerifiable Credentials Data Model v2.0、Verifiable Credential Data Integrity 1.0、Securing Verifiable Credentials Using JOSE and COSEを勧告として公表します。[SRC-W3C-VC20] [SRC-W3C-DI] [SRC-W3C-JOSE]</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2025年7月9日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歴史的事実、技術仕様。OpenID for Verifiable Presentations 1.0が、クレデンシャルの提示フローの最終仕様となります。[SRC-OID4VP]</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2025年7月10日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規制上の事実、任意のガイダンス。AI Actへの適合を支援するため、General-Purpose AI Code of Practiceの最終版が公表されます。この実践規範は任意の手段です。[SRC-S34-021]</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2025年7月</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歴史的事実、技術規格。NISTがDigital Identity Guidelines、Special Publication 800-63-4の最終版を公表します。[SRC-NIST-ID4]</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2025年8月2日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規制上の事実。汎用AIモデル提供者に対するAI Act第53条の義務が、適用範囲と経過規定に従って適用され始めます。この日付より前に市場投入されたモデルには、より後の適合期限が設けられています。[SRC-S34-001] [SRC-S34-021]</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2025年9月16日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歴史的事実、技術仕様。OpenID for Verifiable Credential Issuance 1.0が、クレデンシャルの発行フローの最終仕様となります。[SRC-OID4VCI]</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2026年6月10日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規制上の事実、任意のガイダンス。Code of Practice on Transparency of AI-Generated Contentの最終版が公表されます。マーキングとラベル表示の指針を示しますが、参加するだけで第50条への適合が立証されるわけではありません。[SRC-S34-020]</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2026年7月8日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規制上の事実。AIに関するDigital Omnibusである規則（EU）2026/1744が採択されます。採択は公表や発効とは異なります。[SRC-EU-AI-OMNIBUS26]</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2026年7月23日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歴史的事実、技術的枠組み。European Digital Identity Wallet Architecture and Reference Frameworkのバージョン3.0.0が公開されます。この技術的枠組みは実装を支援するもので、法的義務とは区別されます。[SRC-S34-009]</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2026年7月24日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規制上の事実。規則（EU）2026/1744が欧州連合官報に掲載されます。[SRC-EU-AI-OMNIBUS26]</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2026年7月27日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規制上の事実。規則（EU）2026/1744が発効します。AI Actの義務には引き続き、それぞれの適用日と経過規定が適用されます。[SRC-EU-AI-OMNIBUS26]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2026年8月2日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第50条第1項、第2項、第4項、第5項の透明性義務が、例外と経過措置に従って適用される予定です。汎用AIモデルに対する欧州委員会の執行権限も、この日から適用される予定です。[SRC-S34-001] [SRC-S34-020] [SRC-S34-021]</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2026年12月2日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加盟国はプラットフォーム労働指令を国内法化する期限を迎えます。また、2026年8月2日より前に市場投入された対象の合成コンテンツシステムの提供者について、第50条第2項の経過措置が終了する予定日でもあります。[SRC-S34-012]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2026年12月31日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予定された規制上の日付。2026年4月9日に公表され、2026年4月7日に発効したBIS規則に基づき、指定されたAuthorized IC Designerの資格と申請の期限がこの日となる予定です。適用は取引と規則の範囲に左右されます。[SRC-BIS-IC-DESIGNER26]</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2027年8月2日</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予定された規制上の日付。2025年8月2日より前に市場投入された汎用AIモデルの提供者が、該当するAI Actの義務へ適合する期限です。[SRC-S34-001] [SRC-S34-021]</w:t>
            </w:r>
          </w:p>
        </w:tc>
      </w:tr>
      <w:tr>
        <w:trPr>
          <w:cantSplit/>
        </w:trPr>
        <w:tc>
          <w:tcPr>
            <w:tcW w:type="dxa" w:w="216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2050年前後</w:t>
            </w:r>
          </w:p>
        </w:tc>
        <w:tc>
          <w:tcPr>
            <w:tcW w:type="dxa" w:w="7675"/>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物語上のシナリオ。テーマごとに配置された短い場面は数年にわたります。十四か月と十八か月の間隔はアーシャの物語に属し、六か月後の再審査はマルタとリディア、およびダヴィデに関わります。未来の日付、コスト、時間、数量、能力、地政学的配置はシナリオの設定値であり、予測や観測値ではありません。シナリオには、範囲を限定される、中止される、導入されないプロジェクトも含まれます。</w:t>
            </w:r>
          </w:p>
        </w:tc>
      </w:tr>
      <w:tr>
        <w:trPr>
          <w:cantSplit/>
        </w:trPr>
        <w:tc>
          <w:tcPr>
            <w:tcW w:type="dxa" w:w="216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本書の提案</w:t>
            </w:r>
          </w:p>
        </w:tc>
        <w:tc>
          <w:tcPr>
            <w:tcW w:type="dxa" w:w="7675"/>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著者の提案。2050年テスト、証明の最小化、運用ツイン、動的ライセンス、死後のデジタル指示書は、検証し、修正し、または放棄するための道具です。すでに実現した事実でも、統一的な法律でも、予測でもありません。</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年表の引用方法</w:t>
      </w:r>
    </w:p>
    <w:p>
      <w:pPr>
        <w:keepLines w:val="0"/>
        <w:spacing w:line="270" w:lineRule="atLeast"/>
        <w:wordWrap w:val="1"/>
      </w:pPr>
      <w:r>
        <w:rPr>
          <w:rFonts w:ascii="EB Garamond" w:hAnsi="EB Garamond" w:eastAsia="Noto Serif CJK JP" w:cs="EB Garamond"/>
          <w:color w:val="1F2D33"/>
          <w:sz w:val="21"/>
          <w:szCs w:val="21"/>
          <w:lang w:eastAsia="ja-JP" w:val="en-US"/>
        </w:rPr>
        <w:t xml:space="preserve">歴史と規制に関する項目は、資料センターの検索可能な文献資料一覧を参照します。追加された節目の情報源はSRCコードで探してください。2050年前後の場面は物語の設定値であり、予測ではありません。本書の提案を根拠と文脈に照らして検証したうえで、修正するか放棄するかを決めてください。</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重要年表</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ordWrap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重要年表 | JA-R2.3 | 日本語 | English source V51.2</dc:title>
  <dc:subject>重要年表 | JA-R2.3 | 日本語 | English source V51.2</dc:subject>
  <dc:creator>Marco De Prosperis</dc:creator>
  <cp:keywords>2050, EN-US-R2.3, July 2026 documentary snapshot, revised English interior</cp:keywords>
  <dc:description>重要年表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