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wordWrap w:val="1"/>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Noto Serif CJK JP" w:cs="EB Garamond"/>
          <w:sz w:val="21"/>
          <w:szCs w:val="21"/>
          <w:lang w:eastAsia="ja-JP" w:val="en-US"/>
        </w:rPr>
      </w:r>
    </w:p>
    <w:p>
      <w:pPr>
        <w:spacing w:before="520" w:after="160" w:line="270" w:lineRule="atLeast"/>
        <w:jc w:val="center"/>
        <w:wordWrap w:val="1"/>
      </w:pPr>
      <w:r>
        <w:rPr>
          <w:rFonts w:ascii="EB Garamond" w:hAnsi="EB Garamond" w:eastAsia="Noto Serif CJK JP" w:cs="EB Garamond"/>
          <w:b/>
          <w:color w:val="B04A35"/>
          <w:sz w:val="21"/>
          <w:szCs w:val="21"/>
          <w:lang w:eastAsia="ja-JP" w:val="en-US"/>
        </w:rPr>
        <w:t xml:space="preserve">CORNER ITALIANO  |  公式資料</w:t>
      </w:r>
    </w:p>
    <w:p>
      <w:pPr>
        <w:pStyle w:val="Title"/>
        <w:jc w:val="center"/>
        <w:spacing w:line="640" w:lineRule="atLeast"/>
        <w:wordWrap w:val="1"/>
      </w:pPr>
      <w:r>
        <w:rPr>
          <w:rFonts w:ascii="EB Garamond" w:hAnsi="EB Garamond" w:eastAsia="Noto Serif CJK JP" w:cs="EB Garamond"/>
          <w:b/>
          <w:color w:val="183445"/>
          <w:sz w:val="56"/>
          <w:szCs w:val="56"/>
          <w:lang w:eastAsia="ja-JP" w:val="en-US"/>
        </w:rPr>
        <w:t xml:space="preserve">重要年表</w:t>
      </w:r>
    </w:p>
    <w:p>
      <w:pPr>
        <w:pStyle w:val="Subtitle"/>
        <w:jc w:val="center"/>
        <w:spacing w:line="320" w:lineRule="atLeast"/>
        <w:wordWrap w:val="1"/>
      </w:pPr>
      <w:r>
        <w:rPr>
          <w:rFonts w:ascii="EB Garamond" w:hAnsi="EB Garamond" w:eastAsia="Noto Serif CJK JP" w:cs="EB Garamond"/>
          <w:color w:val="5A686F"/>
          <w:sz w:val="26"/>
          <w:szCs w:val="26"/>
          <w:lang w:eastAsia="ja-JP" w:val="en-US"/>
        </w:rPr>
        <w:t xml:space="preserve">AIの誕生から2050年の物語上の転換点まで</w:t>
      </w:r>
    </w:p>
    <w:p>
      <w:pPr>
        <w:spacing w:before="440" w:line="270" w:lineRule="atLeast"/>
        <w:jc w:val="center"/>
        <w:wordWrap w:val="1"/>
      </w:pPr>
      <w:r>
        <w:rPr>
          <w:rFonts w:ascii="EB Garamond" w:hAnsi="EB Garamond" w:eastAsia="Noto Serif CJK JP" w:cs="EB Garamond"/>
          <w:b/>
          <w:color w:val="B04A35"/>
          <w:sz w:val="21"/>
          <w:szCs w:val="21"/>
          <w:lang w:eastAsia="ja-JP" w:val="en-US"/>
        </w:rPr>
        <w:t xml:space="preserve">事実、要約、規制、シナリオ</w:t>
      </w:r>
    </w:p>
    <w:p>
      <w:pPr>
        <w:jc w:val="center"/>
        <w:spacing w:line="270" w:lineRule="atLeast"/>
        <w:wordWrap w:val="1"/>
      </w:pPr>
      <w:r>
        <w:rPr>
          <w:rFonts w:ascii="EB Garamond" w:hAnsi="EB Garamond" w:eastAsia="Noto Serif CJK JP" w:cs="EB Garamond"/>
          <w:color w:val="183445"/>
          <w:sz w:val="21"/>
          <w:szCs w:val="21"/>
          <w:lang w:eastAsia="ja-JP" w:val="en-US"/>
        </w:rPr>
        <w:t xml:space="preserve">改訂英語版本文に準拠 · 資料の基準時点：2026年7月 · 資料版 JA-R2.3</w:t>
      </w:r>
    </w:p>
    <w:p>
      <w:pPr>
        <w:spacing w:before="360" w:line="270" w:lineRule="atLeast"/>
        <w:jc w:val="center"/>
        <w:wordWrap w:val="1"/>
      </w:pPr>
      <w:hyperlink r:id="rId13">
        <w:r>
          <w:rPr>
            <w:rFonts w:ascii="EB Garamond" w:hAnsi="EB Garamond" w:eastAsia="Noto Serif CJK JP" w:cs="EB Garamond"/>
            <w:color w:val="183445"/>
            <w:u w:val="single"/>
            <w:sz w:val="21"/>
            <w:szCs w:val="21"/>
            <w:lang w:eastAsia="ja-JP" w:val="en-US"/>
          </w:rPr>
          <w:t>https://www.corneritaliano.com/ja/2050/resources/</w:t>
        </w:r>
      </w:hyperlink>
    </w:p>
    <w:p>
      <w:r>
        <w:br w:type="page"/>
        <w:rPr>
          <w:rFonts w:ascii="EB Garamond" w:hAnsi="EB Garamond" w:eastAsia="Noto Serif CJK JP" w:cs="EB Garamond"/>
          <w:sz w:val="21"/>
          <w:szCs w:val="21"/>
          <w:lang w:eastAsia="ja-JP" w:val="en-US"/>
        </w:rPr>
      </w:r>
      <w:pPr>
        <w:wordWrap w:val="1"/>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atLeast"/>
              <w:wordWrap w:val="1"/>
            </w:pPr>
            <w:r>
              <w:rPr>
                <w:rFonts w:ascii="EB Garamond" w:hAnsi="EB Garamond" w:eastAsia="Noto Serif CJK JP" w:cs="EB Garamond"/>
                <w:color w:val="1F2D33"/>
                <w:sz w:val="17"/>
                <w:szCs w:val="17"/>
                <w:lang w:eastAsia="ja-JP" w:val="en-US"/>
              </w:rPr>
              <w:t xml:space="preserve">方法  この年表は、本書を読み進める助けとなる節目を選んでいます。各項目には、歴史的事実または要約、規制上の事実、物語上のシナリオ、著者の提案のいずれかを明示します。技術文献は歴史的事実の中で区別します。2026年7月30日より後の法的な日付には「予定」と記しています。</w:t>
            </w:r>
          </w:p>
        </w:tc>
      </w:tr>
    </w:tbl>
    <w:p>
      <w:pPr>
        <w:spacing w:after="0"/>
        <w:wordWrap w:val="1"/>
      </w:pP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249"/>
        <w:gridCol w:w="7975"/>
      </w:tblGrid>
      <w:tr>
        <w:trPr>
          <w:tblHeader w:val="true"/>
          <w:cantSplit/>
        </w:trPr>
        <w:tc>
          <w:tcPr>
            <w:tcW w:type="dxa" w:w="2249"/>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日付または時期</w:t>
            </w:r>
          </w:p>
        </w:tc>
        <w:tc>
          <w:tcPr>
            <w:tcW w:type="dxa" w:w="7975"/>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節目と区分</w:t>
            </w:r>
          </w:p>
        </w:tc>
      </w:tr>
      <w:tr>
        <w:trPr>
          <w:cantSplit/>
        </w:trPr>
        <w:tc>
          <w:tcPr>
            <w:tcW w:type="dxa" w:w="2249"/>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1950</w:t>
            </w:r>
          </w:p>
        </w:tc>
        <w:tc>
          <w:tcPr>
            <w:tcW w:type="dxa" w:w="797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歴史的事実。Alan Turingは「Computing Machinery and Intelligence」を発表し、「機械は考えられるか」という抽象的な問いを模倣ゲームに置き換え、観察可能な振る舞いへ注意を向けます。</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1955-1956</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歴史的事実。John McCarthy、Marvin Minsky、Nathaniel Rochester、Claude Shannonがダートマスの夏期研究会の提案を準備し、「人工知能」という表現が新たな研究分野の旗印となります。</w:t>
            </w:r>
          </w:p>
        </w:tc>
      </w:tr>
      <w:tr>
        <w:trPr>
          <w:cantSplit/>
        </w:trPr>
        <w:tc>
          <w:tcPr>
            <w:tcW w:type="dxa" w:w="2249"/>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1950年代後半</w:t>
            </w:r>
          </w:p>
        </w:tc>
        <w:tc>
          <w:tcPr>
            <w:tcW w:type="dxa" w:w="797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歴史的要約。Frank Rosenblattのパーセプトロンは、機械が事例から学べるという考えを後押ししますが、ハードウェア、データ、方法にはなお限界があります。</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1966</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歴史的事実。Joseph WeizenbaumがELIZAを発表します。規則とキーワードによって、耳を傾けているかのような驚くほど強い印象を生み出す、単純なプログラムです。</w:t>
            </w:r>
          </w:p>
        </w:tc>
      </w:tr>
      <w:tr>
        <w:trPr>
          <w:cantSplit/>
        </w:trPr>
        <w:tc>
          <w:tcPr>
            <w:tcW w:type="dxa" w:w="2249"/>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1969</w:t>
            </w:r>
          </w:p>
        </w:tc>
        <w:tc>
          <w:tcPr>
            <w:tcW w:type="dxa" w:w="797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歴史的事実と要約。Marvin MinskyとSeymour Papertが単純なパーセプトロンの限界を分析します。その後のAIの冬にも、約束、資金、計算能力、成果の間の隔たりが反映されています。</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1969</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基盤の歴史。ARPANETが二つのノード間で最初のメッセージを送信し、パケット交換ネットワークを実現するとともに、より広い通信アーキテクチャへの道を開きます。</w:t>
            </w:r>
          </w:p>
        </w:tc>
      </w:tr>
      <w:tr>
        <w:trPr>
          <w:cantSplit/>
        </w:trPr>
        <w:tc>
          <w:tcPr>
            <w:tcW w:type="dxa" w:w="2249"/>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1983年1月1日</w:t>
            </w:r>
          </w:p>
        </w:tc>
        <w:tc>
          <w:tcPr>
            <w:tcW w:type="dxa" w:w="797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基盤の歴史。ARPANETがTCP/IPへの移行を完了します。共通のプロトコル群を通じて異なるネットワークが通信できるようになり、ネットワークのネットワークとしてのインターネットへ向けた決定的な一歩となります。</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1986</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歴史的事実。David Rumelhart、Geoffrey Hinton、Ronald Williamsが、誤差逆伝播法によって多層ネットワークを学習させる方法を示し、大きな影響を与えます。</w:t>
            </w:r>
          </w:p>
        </w:tc>
      </w:tr>
      <w:tr>
        <w:trPr>
          <w:cantSplit/>
        </w:trPr>
        <w:tc>
          <w:tcPr>
            <w:tcW w:type="dxa" w:w="2249"/>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1989-1991</w:t>
            </w:r>
          </w:p>
        </w:tc>
        <w:tc>
          <w:tcPr>
            <w:tcW w:type="dxa" w:w="797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基盤の歴史。Tim Berners-Leeが1989年にCERNでWorld Wide Webを提案し、最初のブラウザーとサーバーを開発します。1991年にはプロジェクトが研究所の外へ広がり始め、ネットワークをハイパーテキストによる閲覧に開きます。</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1997</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歴史的事実。Deep Blueが六局の対戦でGarry Kasparovを破り、規則が閉じた領域での計算の力を広く一般に示します。</w:t>
            </w:r>
          </w:p>
        </w:tc>
      </w:tr>
      <w:tr>
        <w:trPr>
          <w:cantSplit/>
        </w:trPr>
        <w:tc>
          <w:tcPr>
            <w:tcW w:type="dxa" w:w="2249"/>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1990年代から2000年代初頭</w:t>
            </w:r>
          </w:p>
        </w:tc>
        <w:tc>
          <w:tcPr>
            <w:tcW w:type="dxa" w:w="797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要約。インターネット、Web、モバイルサービスが、ネットワークを専門家の環境から日常の基盤へ変えます。アーカイブ、アイデンティティ、通信、サービスは、相互につながるシステムへの依存を深めます。</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2012</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歴史的事実。AlexNetが画像処理装置を用いてImageNetコンペティションで著しく優れた結果を達成し、画像認識における深層学習の加速を明らかにします。</w:t>
            </w:r>
          </w:p>
        </w:tc>
      </w:tr>
      <w:tr>
        <w:trPr>
          <w:cantSplit/>
        </w:trPr>
        <w:tc>
          <w:tcPr>
            <w:tcW w:type="dxa" w:w="2249"/>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2017</w:t>
            </w:r>
          </w:p>
        </w:tc>
        <w:tc>
          <w:tcPr>
            <w:tcW w:type="dxa" w:w="797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歴史的事実。「Attention Is All You Need」がTransformerアーキテクチャを提示します。これは大規模言語モデルと多くの生成システムの中心となります。</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2022年11月30日</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歴史的事実。ChatGPTが研究プレビューとして一般公開され、対話型AIが日常的な規模で利用できるようになります。</w:t>
            </w:r>
          </w:p>
        </w:tc>
      </w:tr>
      <w:tr>
        <w:trPr>
          <w:cantSplit/>
        </w:trPr>
        <w:tc>
          <w:tcPr>
            <w:tcW w:type="dxa" w:w="2249"/>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2010年代と2020年代</w:t>
            </w:r>
          </w:p>
        </w:tc>
        <w:tc>
          <w:tcPr>
            <w:tcW w:type="dxa" w:w="797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歴史的要約。クラウドサービス、データセンター、API、プラットフォーム、接続された物が結び付き、仕事、医療、行政、移動、情報が依存する、ますます見えにくい基盤を形成します。</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2024年8月1日</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規制上の事実。AI Actとして知られる規則（EU）2024/1689が発効します。規定は段階的に適用され、この日付はすべての義務が一斉に効力を持つことを意味しません。</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2025年2月2日</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規制上の事実。AI Actの禁止行為に関する規定と、当初のAIリテラシー義務の適用が始まります。その後、2026年7月の改正により、第4条はAIリテラシーの育成を支援する義務へと改められます。[SRC-S34-001] [SRC-EU-AI-OMNIBUS26]</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2025年5月15日</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歴史的事実、技術規格。W3CがVerifiable Credentials Data Model v2.0、Verifiable Credential Data Integrity 1.0、Securing Verifiable Credentials Using JOSE and COSEを勧告として公表します。[SRC-W3C-VC20] [SRC-W3C-DI] [SRC-W3C-JOSE]</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2025年7月9日</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歴史的事実、技術仕様。OpenID for Verifiable Presentations 1.0が、クレデンシャルの提示フローの最終仕様となります。[SRC-OID4VP]</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2025年7月10日</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規制上の事実、任意のガイダンス。AI Actへの適合を支援するため、General-Purpose AI Code of Practiceの最終版が公表されます。この実践規範は任意の手段です。[SRC-S34-021]</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2025年7月</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歴史的事実、技術規格。NISTがDigital Identity Guidelines、Special Publication 800-63-4の最終版を公表します。[SRC-NIST-ID4]</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2025年8月2日</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規制上の事実。汎用AIモデル提供者に対するAI Act第53条の義務が、適用範囲と経過規定に従って適用され始めます。この日付より前に市場投入されたモデルには、より後の適合期限が設けられています。[SRC-S34-001] [SRC-S34-021]</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2025年9月16日</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歴史的事実、技術仕様。OpenID for Verifiable Credential Issuance 1.0が、クレデンシャルの発行フローの最終仕様となります。[SRC-OID4VCI]</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2026年6月10日</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規制上の事実、任意のガイダンス。Code of Practice on Transparency of AI-Generated Contentの最終版が公表されます。マーキングとラベル表示の指針を示しますが、参加するだけで第50条への適合が立証されるわけではありません。[SRC-S34-020]</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2026年7月8日</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規制上の事実。AIに関するDigital Omnibusである規則（EU）2026/1744が採択されます。採択は公表や発効とは異なります。[SRC-EU-AI-OMNIBUS26]</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2026年7月23日</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歴史的事実、技術的枠組み。European Digital Identity Wallet Architecture and Reference Frameworkのバージョン3.0.0が公開されます。この技術的枠組みは実装を支援するもので、法的義務とは区別されます。[SRC-S34-009]</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2026年7月24日</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規制上の事実。規則（EU）2026/1744が欧州連合官報に掲載されます。[SRC-EU-AI-OMNIBUS26]</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2026年7月27日</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規制上の事実。規則（EU）2026/1744が発効します。AI Actの義務には引き続き、それぞれの適用日と経過規定が適用されます。[SRC-EU-AI-OMNIBUS26] [SRC-S34-001]</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2026年8月2日</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予定された規制上の日付。第50条第1項、第2項、第4項、第5項の透明性義務が、例外と経過措置に従って適用される予定です。汎用AIモデルに対する欧州委員会の執行権限も、この日から適用される予定です。[SRC-S34-001] [SRC-S34-020] [SRC-S34-021]</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2026年12月2日</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予定された規制上の日付。加盟国はプラットフォーム労働指令を国内法化する期限を迎えます。また、2026年8月2日より前に市場投入された対象の合成コンテンツシステムの提供者について、第50条第2項の経過措置が終了する予定日でもあります。[SRC-S34-012] [SRC-EU-AI-OMNIBUS26] [SRC-S34-001]</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2026年12月31日</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予定された規制上の日付。2026年4月9日に公表され、2026年4月7日に発効したBIS規則に基づき、指定されたAuthorized IC Designerの資格と申請の期限がこの日となる予定です。適用は取引と規則の範囲に左右されます。[SRC-BIS-IC-DESIGNER26]</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2027年8月2日</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予定された規制上の日付。2025年8月2日より前に市場投入された汎用AIモデルの提供者が、該当するAI Actの義務へ適合する期限です。[SRC-S34-001] [SRC-S34-021]</w:t>
            </w:r>
          </w:p>
        </w:tc>
      </w:tr>
      <w:tr>
        <w:trPr>
          <w:cantSplit/>
        </w:trPr>
        <w:tc>
          <w:tcPr>
            <w:tcW w:type="dxa" w:w="2249"/>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2050年前後</w:t>
            </w:r>
          </w:p>
        </w:tc>
        <w:tc>
          <w:tcPr>
            <w:tcW w:type="dxa" w:w="797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物語上のシナリオ。テーマごとに配置された短い場面は数年にわたります。十四か月と十八か月の間隔はアーシャの物語に属し、六か月後の再審査はマルタとリディア、およびダヴィデに関わります。未来の日付、コスト、時間、数量、能力、地政学的配置はシナリオの設定値であり、予測や観測値ではありません。シナリオには、範囲を限定される、中止される、導入されないプロジェクトも含まれます。</w:t>
            </w:r>
          </w:p>
        </w:tc>
      </w:tr>
      <w:tr>
        <w:trPr>
          <w:cantSplit/>
        </w:trPr>
        <w:tc>
          <w:tcPr>
            <w:tcW w:type="dxa" w:w="22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本書の提案</w:t>
            </w:r>
          </w:p>
        </w:tc>
        <w:tc>
          <w:tcPr>
            <w:tcW w:type="dxa" w:w="79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著者の提案。2050年テスト、証明の最小化、運用ツイン、動的ライセンス、死後のデジタル指示書は、検証し、修正し、または放棄するための道具です。すでに実現した事実でも、統一的な法律でも、予測でもありません。</w:t>
            </w:r>
          </w:p>
        </w:tc>
      </w:tr>
    </w:tbl>
    <w:p>
      <w:pPr>
        <w:spacing w:after="0"/>
        <w:wordWrap w:val="1"/>
      </w:pPr>
    </w:p>
    <w:p>
      <w:pPr>
        <w:pStyle w:val="Heading1"/>
        <w:spacing w:line="460" w:lineRule="atLeast"/>
        <w:wordWrap w:val="1"/>
      </w:pPr>
      <w:r>
        <w:rPr>
          <w:rFonts w:ascii="EB Garamond" w:hAnsi="EB Garamond" w:eastAsia="Noto Serif CJK JP" w:cs="EB Garamond"/>
          <w:sz w:val="40"/>
          <w:szCs w:val="40"/>
          <w:color w:val="183445"/>
          <w:lang w:eastAsia="ja-JP" w:val="en-US"/>
        </w:rPr>
        <w:t xml:space="preserve">年表の引用方法</w:t>
      </w:r>
    </w:p>
    <w:p>
      <w:pPr>
        <w:keepLines w:val="0"/>
        <w:spacing w:line="270" w:lineRule="atLeast"/>
        <w:wordWrap w:val="1"/>
      </w:pPr>
      <w:r>
        <w:rPr>
          <w:rFonts w:ascii="EB Garamond" w:hAnsi="EB Garamond" w:eastAsia="Noto Serif CJK JP" w:cs="EB Garamond"/>
          <w:color w:val="1F2D33"/>
          <w:sz w:val="21"/>
          <w:szCs w:val="21"/>
          <w:lang w:eastAsia="ja-JP" w:val="en-US"/>
        </w:rPr>
        <w:t xml:space="preserve">歴史と規制に関する項目は、資料センターの検索可能な文献資料一覧を参照します。追加された節目の情報源はSRCコードで探してください。2050年前後の場面は物語の設定値であり、予測ではありません。本書の提案を根拠と文脈に照らして検証したうえで、修正するか放棄するかを決めてください。</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 w:name="Noto Serif CJK JP">
    <w:family w:val="roman"/>
    <w:embedRegular r:id="rIdJP0" w:fontKey="{65D2A82C-6EC7-4C45-8448-F02D1CC9ED20}" w:subsetted="1"/>
    <w:embedBold r:id="rIdJP1" w:fontKey="{65D2A82C-6EC7-4C45-8448-F02D1CC9ED21}" w:subsetted="1"/>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atLeast"/>
      <w:wordWrap w:val="1"/>
    </w:pPr>
    <w:r>
      <w:rPr>
        <w:rFonts w:ascii="EB Garamond" w:hAnsi="EB Garamond" w:eastAsia="Noto Serif CJK JP" w:cs="EB Garamond"/>
        <w:color w:val="65757D"/>
        <w:sz w:val="16"/>
        <w:szCs w:val="16"/>
        <w:lang w:eastAsia="ja-JP" w:val="en-US"/>
      </w:rPr>
      <w:t>2050 - JA-R2.3 - 資料の基準時点：2026年7月</w:t>
    </w:r>
    <w:r>
      <w:tab/>
      <w:rPr>
        <w:rFonts w:ascii="EB Garamond" w:hAnsi="EB Garamond" w:eastAsia="Noto Serif CJK JP" w:cs="EB Garamond"/>
        <w:sz w:val="16"/>
        <w:szCs w:val="16"/>
        <w:color w:val="65757D"/>
        <w:lang w:eastAsia="ja-JP" w:val="en-US"/>
      </w:rPr>
    </w:r>
    <w:r>
      <w:rPr>
        <w:rFonts w:ascii="EB Garamond" w:hAnsi="EB Garamond" w:eastAsia="Noto Serif CJK JP" w:cs="EB Garamond"/>
        <w:color w:val="65757D"/>
        <w:sz w:val="16"/>
        <w:szCs w:val="16"/>
        <w:lang w:eastAsia="ja-JP" w:val="en-US"/>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atLeast"/>
      <w:wordWrap w:val="1"/>
    </w:pPr>
    <w:r>
      <w:rPr>
        <w:rFonts w:ascii="EB Garamond" w:hAnsi="EB Garamond" w:eastAsia="Noto Serif CJK JP" w:cs="EB Garamond"/>
        <w:color w:val="65757D"/>
        <w:sz w:val="16"/>
        <w:szCs w:val="16"/>
        <w:lang w:eastAsia="ja-JP" w:val="en-US"/>
      </w:rPr>
      <w:t>https://www.corneritaliano.com/ja/2050/resources/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atLeast"/>
      <w:jc w:val="left"/>
      <w:wordWrap w:val="1"/>
    </w:pPr>
    <w:r>
      <w:rPr>
        <w:rFonts w:ascii="EB Garamond" w:hAnsi="EB Garamond" w:eastAsia="Noto Serif CJK JP" w:cs="EB Garamond"/>
        <w:b/>
        <w:color w:val="65757D"/>
        <w:sz w:val="16"/>
        <w:szCs w:val="16"/>
        <w:lang w:eastAsia="ja-JP" w:val="en-US"/>
      </w:rPr>
      <w:t xml:space="preserve">2050  |  公式資料  |  重要年表</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Noto Serif CJK JP" w:cs="EB Garamond"/>
        <w:sz w:val="21"/>
        <w:szCs w:val="21"/>
        <w:lang w:val="en-US" w:eastAsia="ja-JP"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atLeast"/>
    </w:pPr>
    <w:rPr>
      <w:rFonts w:ascii="EB Garamond" w:hAnsi="EB Garamond" w:eastAsia="Noto Serif CJK JP"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Noto Serif CJK JP"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Noto Serif CJK JP"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Noto Serif CJK JP"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Noto Serif CJK JP"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Noto Serif CJK JP"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Noto Serif CJK JP"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Noto Serif CJK JP"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Noto Serif CJK JP"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Noto Serif CJK JP"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Noto Serif CJK JP"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Noto Serif CJK JP" w:cs="EB Garamond"/>
      <w:i/>
      <w:iCs/>
      <w:color w:val="404040"/>
      <w:sz w:val="20"/>
      <w:szCs w:val="20"/>
    </w:rPr>
  </w:style>
  <w:style w:type="character" w:default="1" w:styleId="DefaultParagraphFont">
    <w:name w:val="Default Paragraph Font"/>
    <w:uiPriority w:val="1"/>
    <w:semiHidden/>
    <w:unhideWhenUsed/>
    <w:rPr>
      <w:rFonts w:ascii="EB Garamond" w:hAnsi="EB Garamond" w:eastAsia="Noto Serif CJK JP"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Noto Serif CJK JP" w:cs="EB Garamond"/>
    </w:rPr>
  </w:style>
  <w:style w:type="numbering" w:default="1" w:styleId="NoList">
    <w:name w:val="No List"/>
    <w:uiPriority w:val="99"/>
    <w:semiHidden/>
    <w:unhideWhenUsed/>
    <w:rPr>
      <w:rFonts w:ascii="EB Garamond" w:hAnsi="EB Garamond" w:eastAsia="Noto Serif CJK JP" w:cs="EB Garamond"/>
    </w:rPr>
  </w:style>
  <w:style w:type="paragraph" w:styleId="NoSpacing">
    <w:name w:val="No Spacing"/>
    <w:uiPriority w:val="1"/>
    <w:qFormat/>
    <w:rsid w:val="00FC693F"/>
    <w:pPr>
      <w:spacing w:after="0" w:line="240" w:lineRule="auto"/>
    </w:pPr>
    <w:rPr>
      <w:rFonts w:ascii="EB Garamond" w:hAnsi="EB Garamond" w:eastAsia="Noto Serif CJK JP" w:cs="EB Garamond"/>
    </w:rPr>
  </w:style>
  <w:style w:type="character" w:customStyle="1" w:styleId="Heading1Char">
    <w:name w:val="Heading 1 Char"/>
    <w:basedOn w:val="DefaultParagraphFont"/>
    <w:link w:val="Heading1"/>
    <w:uiPriority w:val="9"/>
    <w:rsid w:val="00FC693F"/>
    <w:rPr>
      <w:rFonts w:ascii="EB Garamond" w:hAnsi="EB Garamond" w:eastAsia="Noto Serif CJK JP"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Noto Serif CJK JP"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Noto Serif CJK JP"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Noto Serif CJK JP"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Noto Serif CJK JP"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Noto Serif CJK JP"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Noto Serif CJK JP"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Noto Serif CJK JP" w:cs="EB Garamond"/>
    </w:rPr>
  </w:style>
  <w:style w:type="paragraph" w:styleId="BodyText">
    <w:name w:val="Body Text"/>
    <w:basedOn w:val="Normal"/>
    <w:link w:val="BodyTextChar"/>
    <w:uiPriority w:val="99"/>
    <w:unhideWhenUsed/>
    <w:rsid w:val="00AA1D8D"/>
    <w:pPr>
      <w:spacing w:after="120"/>
    </w:pPr>
    <w:rPr>
      <w:rFonts w:ascii="EB Garamond" w:hAnsi="EB Garamond" w:eastAsia="Noto Serif CJK JP" w:cs="EB Garamond"/>
    </w:rPr>
  </w:style>
  <w:style w:type="character" w:customStyle="1" w:styleId="BodyTextChar">
    <w:name w:val="Body Text Char"/>
    <w:basedOn w:val="DefaultParagraphFont"/>
    <w:link w:val="BodyText"/>
    <w:uiPriority w:val="99"/>
    <w:rsid w:val="00AA1D8D"/>
    <w:rPr>
      <w:rFonts w:ascii="EB Garamond" w:hAnsi="EB Garamond" w:eastAsia="Noto Serif CJK JP"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Noto Serif CJK JP" w:cs="EB Garamond"/>
    </w:rPr>
  </w:style>
  <w:style w:type="character" w:customStyle="1" w:styleId="BodyText2Char">
    <w:name w:val="Body Text 2 Char"/>
    <w:basedOn w:val="DefaultParagraphFont"/>
    <w:link w:val="BodyText2"/>
    <w:uiPriority w:val="99"/>
    <w:rsid w:val="00AA1D8D"/>
    <w:rPr>
      <w:rFonts w:ascii="EB Garamond" w:hAnsi="EB Garamond" w:eastAsia="Noto Serif CJK JP"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Noto Serif CJK JP"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Noto Serif CJK JP" w:cs="EB Garamond"/>
    </w:rPr>
  </w:style>
  <w:style w:type="paragraph" w:styleId="List">
    <w:name w:val="List"/>
    <w:basedOn w:val="Normal"/>
    <w:uiPriority w:val="99"/>
    <w:unhideWhenUsed/>
    <w:rsid w:val="00AA1D8D"/>
    <w:pPr>
      <w:ind w:left="360" w:hanging="360"/>
      <w:contextualSpacing/>
    </w:pPr>
    <w:rPr>
      <w:rFonts w:ascii="EB Garamond" w:hAnsi="EB Garamond" w:eastAsia="Noto Serif CJK JP" w:cs="EB Garamond"/>
    </w:rPr>
  </w:style>
  <w:style w:type="paragraph" w:styleId="List2">
    <w:name w:val="List 2"/>
    <w:basedOn w:val="Normal"/>
    <w:uiPriority w:val="99"/>
    <w:unhideWhenUsed/>
    <w:rsid w:val="00326F90"/>
    <w:pPr>
      <w:ind w:left="720" w:hanging="360"/>
      <w:contextualSpacing/>
    </w:pPr>
    <w:rPr>
      <w:rFonts w:ascii="EB Garamond" w:hAnsi="EB Garamond" w:eastAsia="Noto Serif CJK JP" w:cs="EB Garamond"/>
    </w:rPr>
  </w:style>
  <w:style w:type="paragraph" w:styleId="List3">
    <w:name w:val="List 3"/>
    <w:basedOn w:val="Normal"/>
    <w:uiPriority w:val="99"/>
    <w:unhideWhenUsed/>
    <w:rsid w:val="00326F90"/>
    <w:pPr>
      <w:ind w:left="1080" w:hanging="360"/>
      <w:contextualSpacing/>
    </w:pPr>
    <w:rPr>
      <w:rFonts w:ascii="EB Garamond" w:hAnsi="EB Garamond" w:eastAsia="Noto Serif CJK JP" w:cs="EB Garamond"/>
    </w:rPr>
  </w:style>
  <w:style w:type="paragraph" w:styleId="ListBullet">
    <w:name w:val="List Bullet"/>
    <w:basedOn w:val="Normal"/>
    <w:uiPriority w:val="99"/>
    <w:unhideWhenUsed/>
    <w:rsid w:val="00326F90"/>
    <w:pPr>
      <w:numPr>
        <w:numId w:val="1"/>
      </w:numPr>
      <w:contextualSpacing/>
    </w:pPr>
    <w:rPr>
      <w:rFonts w:ascii="EB Garamond" w:hAnsi="EB Garamond" w:eastAsia="Noto Serif CJK JP"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Noto Serif CJK JP"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Noto Serif CJK JP" w:cs="EB Garamond"/>
    </w:rPr>
  </w:style>
  <w:style w:type="paragraph" w:styleId="ListNumber">
    <w:name w:val="List Number"/>
    <w:basedOn w:val="Normal"/>
    <w:uiPriority w:val="99"/>
    <w:unhideWhenUsed/>
    <w:rsid w:val="00326F90"/>
    <w:pPr>
      <w:numPr>
        <w:numId w:val="5"/>
      </w:numPr>
      <w:contextualSpacing/>
    </w:pPr>
    <w:rPr>
      <w:rFonts w:ascii="EB Garamond" w:hAnsi="EB Garamond" w:eastAsia="Noto Serif CJK JP"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Noto Serif CJK JP"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Noto Serif CJK JP"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Noto Serif CJK JP"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Noto Serif CJK JP"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Noto Serif CJK JP"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Noto Serif CJK JP"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Noto Serif CJK JP"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Noto Serif CJK JP" w:cs="EB Garamond"/>
    </w:rPr>
  </w:style>
  <w:style w:type="character" w:customStyle="1" w:styleId="QuoteChar">
    <w:name w:val="Quote Char"/>
    <w:basedOn w:val="DefaultParagraphFont"/>
    <w:link w:val="Quote"/>
    <w:uiPriority w:val="29"/>
    <w:rsid w:val="00FC693F"/>
    <w:rPr>
      <w:i/>
      <w:iCs/>
      <w:color w:val="000000"/>
      <w:rFonts w:ascii="EB Garamond" w:hAnsi="EB Garamond" w:eastAsia="Noto Serif CJK JP" w:cs="EB Garamond"/>
    </w:rPr>
  </w:style>
  <w:style w:type="character" w:customStyle="1" w:styleId="Heading4Char">
    <w:name w:val="Heading 4 Char"/>
    <w:basedOn w:val="DefaultParagraphFont"/>
    <w:link w:val="Heading4"/>
    <w:uiPriority w:val="9"/>
    <w:semiHidden/>
    <w:rsid w:val="00FC693F"/>
    <w:rPr>
      <w:rFonts w:ascii="EB Garamond" w:hAnsi="EB Garamond" w:eastAsia="Noto Serif CJK JP"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Noto Serif CJK JP"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Noto Serif CJK JP"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Noto Serif CJK JP"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Noto Serif CJK JP"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Noto Serif CJK JP"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Noto Serif CJK JP" w:cs="EB Garamond"/>
    </w:rPr>
  </w:style>
  <w:style w:type="character" w:styleId="Strong">
    <w:name w:val="Strong"/>
    <w:basedOn w:val="DefaultParagraphFont"/>
    <w:uiPriority w:val="22"/>
    <w:qFormat/>
    <w:rsid w:val="00FC693F"/>
    <w:rPr>
      <w:b/>
      <w:bCs/>
      <w:rFonts w:ascii="EB Garamond" w:hAnsi="EB Garamond" w:eastAsia="Noto Serif CJK JP" w:cs="EB Garamond"/>
    </w:rPr>
  </w:style>
  <w:style w:type="character" w:styleId="Emphasis">
    <w:name w:val="Emphasis"/>
    <w:basedOn w:val="DefaultParagraphFont"/>
    <w:uiPriority w:val="20"/>
    <w:qFormat/>
    <w:rsid w:val="00FC693F"/>
    <w:rPr>
      <w:i/>
      <w:iCs/>
      <w:rFonts w:ascii="EB Garamond" w:hAnsi="EB Garamond" w:eastAsia="Noto Serif CJK JP"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Noto Serif CJK JP"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Noto Serif CJK JP" w:cs="EB Garamond"/>
    </w:rPr>
  </w:style>
  <w:style w:type="character" w:styleId="SubtleEmphasis">
    <w:name w:val="Subtle Emphasis"/>
    <w:basedOn w:val="DefaultParagraphFont"/>
    <w:uiPriority w:val="19"/>
    <w:qFormat/>
    <w:rsid w:val="00FC693F"/>
    <w:rPr>
      <w:i/>
      <w:iCs/>
      <w:color w:val="808080"/>
      <w:rFonts w:ascii="EB Garamond" w:hAnsi="EB Garamond" w:eastAsia="Noto Serif CJK JP" w:cs="EB Garamond"/>
    </w:rPr>
  </w:style>
  <w:style w:type="character" w:styleId="IntenseEmphasis">
    <w:name w:val="Intense Emphasis"/>
    <w:basedOn w:val="DefaultParagraphFont"/>
    <w:uiPriority w:val="21"/>
    <w:qFormat/>
    <w:rsid w:val="00FC693F"/>
    <w:rPr>
      <w:b/>
      <w:bCs/>
      <w:i/>
      <w:iCs/>
      <w:color w:val="4F81BD"/>
      <w:rFonts w:ascii="EB Garamond" w:hAnsi="EB Garamond" w:eastAsia="Noto Serif CJK JP"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Noto Serif CJK JP"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Noto Serif CJK JP" w:cs="EB Garamond"/>
    </w:rPr>
  </w:style>
  <w:style w:type="character" w:styleId="BookTitle">
    <w:name w:val="Book Title"/>
    <w:basedOn w:val="DefaultParagraphFont"/>
    <w:uiPriority w:val="33"/>
    <w:qFormat/>
    <w:rsid w:val="00FC693F"/>
    <w:rPr>
      <w:b/>
      <w:bCs/>
      <w:smallCaps/>
      <w:spacing w:val="5"/>
      <w:rFonts w:ascii="EB Garamond" w:hAnsi="EB Garamond" w:eastAsia="Noto Serif CJK JP"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Noto Serif CJK JP"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Noto Serif CJK JP"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Noto Serif CJK JP"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Noto Serif CJK JP"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Noto Serif CJK JP"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Noto Serif CJK JP"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Noto Serif CJK JP"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Noto Serif CJK JP"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Noto Serif CJK JP"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Noto Serif CJK JP"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Noto Serif CJK JP"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Noto Serif CJK JP"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Noto Serif CJK JP"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Noto Serif CJK JP"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Noto Serif CJK JP"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Noto Serif CJK JP"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Noto Serif CJK JP"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Noto Serif CJK JP"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Noto Serif CJK JP"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Noto Serif CJK JP"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Noto Serif CJK JP"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Noto Serif CJK JP"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Noto Serif CJK JP"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List1">
    <w:name w:val="Medium Lis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Noto Serif CJK JP"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Noto Serif CJK JP"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Noto Serif CJK JP"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Noto Serif CJK JP"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Noto Serif CJK JP"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Noto Serif CJK JP"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Noto Serif CJK JP" w:cs="EB Garamond"/>
    </w:rPr>
  </w:style>
  <w:style w:type="table" w:styleId="MediumGrid2">
    <w:name w:val="Medium Grid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Noto Serif CJK JP"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Noto Serif CJK JP"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Noto Serif CJK JP"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Noto Serif CJK JP"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Noto Serif CJK JP"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Noto Serif CJK JP"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Noto Serif CJK JP" w:cs="EB Garamond"/>
    </w:rPr>
  </w:style>
  <w:style w:type="table" w:styleId="DarkList">
    <w:name w:val="Dark List"/>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ja/2050/resourc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 Id="rIdJP0" Type="http://schemas.openxmlformats.org/officeDocument/2006/relationships/font" Target="fonts/noto-jp-regular.odttf"/><Relationship Id="rIdJP1" Type="http://schemas.openxmlformats.org/officeDocument/2006/relationships/font" Target="fonts/noto-jp-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重要年表 | JA-R2.3 | 日本語 | English source V51.2</dc:title>
  <dc:subject>重要年表 | JA-R2.3 | 日本語 | English source V51.2</dc:subject>
  <dc:creator>Marco De Prosperis</dc:creator>
  <cp:keywords>2050, EN-US-R2.3, July 2026 documentary snapshot, revised English interior</cp:keywords>
  <dc:description>重要年表 | JA-R2.3 | 日本語 | English source V51.2</dc:description>
  <cp:lastModifiedBy>Corner Italiano LLC</cp:lastModifiedBy>
  <cp:revision>2</cp:revision>
  <dcterms:created xsi:type="dcterms:W3CDTF">2013-12-23T23:15:00Z</dcterms:created>
  <dcterms:modified xsi:type="dcterms:W3CDTF">2026-09-10T15:55:33Z</dcterms:modified>
  <cp:category/>
  <dc:language>ja-JP</dc:language>
</cp:coreProperties>
</file>