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Protocolo avançado de teste com dois sistemas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Como usar um segundo sistema sem transformá-lo em aprovação automática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PROTOCOLO OPERACIONAL AMPLIADO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REGRA FUNDAMENTAL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Um segundo sistema pode procurar erros ou condições contrárias; não constitui uma verificação independente apenas por ter nome, modelo ou fornecedor diferente. Ele acrescenta evidência ao Teste, não cria um segundo Teste nem uma forma de somar votos.</w:t>
            </w:r>
          </w:p>
        </w:tc>
      </w:tr>
    </w:tbl>
    <w:p>
      <w:pPr>
        <w:spacing w:after="0"/>
      </w:pP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Antes de usá-lo, defina o resultado legítimo, as ações proibidas, os grupos expostos, o tempo até o dano, a divergência capaz de mudar o resultado, a pessoa responsável e a condição de interrupção. Teste primeiro no modo sombra com casos adversos e, somente depois, se houver justificativa, com volume limitado e reversível. Um segundo sistema não resolve, por si só, conflitos de valores, acesso desigual, capacidade organizacional insuficiente ou ausência de Recurso.</w:t>
      </w:r>
    </w:p>
    <w:p>
      <w:pPr>
        <w:pStyle w:val="Heading1"/>
      </w:pPr>
      <w:r>
        <w:t>1. Finalidade e limites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O protocolo é usado quando uma organização pretende combinar seu sistema principal com um segundo sistema capaz de procurar erros, condições contrárias ou motivos para reabrir o caso. O segundo sistema produz evidência adicional; não substitui o Teste 2050, o juízo competente, o Recurso ou a autoridade para interromper.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 concordância entre os sistemas não demonstra que um resultado esteja correto. A discordância não autoriza uma média automática. Ambos podem depender das mesmas fontes, dados, rótulos ou infraestrutura e, por isso, falhar da mesma maneira.</w:t>
      </w:r>
    </w:p>
    <w:p>
      <w:pPr>
        <w:pStyle w:val="Heading1"/>
      </w:pPr>
      <w:r>
        <w:t>2. Funções e separação de responsabilidades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72"/>
        <w:gridCol w:w="7418"/>
      </w:tblGrid>
      <w:tr>
        <w:trPr>
          <w:tblHeader w:val="true"/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Função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Responsabilidade mínima</w:t>
            </w:r>
          </w:p>
        </w:tc>
      </w:tr>
      <w:tr>
        <w:trPr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Titular do Teste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Define o problema, o Mandato, os limiares não compensáveis e a decisão organizacional. Não delega a aprovação aos dois sistemas.</w:t>
            </w:r>
          </w:p>
        </w:tc>
      </w:tr>
      <w:tr>
        <w:trPr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Sistema A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Executa a tarefa dentro do perímetro experimental e conserva entradas, versão, resultados, fontes e incerteza.</w:t>
            </w:r>
          </w:p>
        </w:tc>
      </w:tr>
      <w:tr>
        <w:trPr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Sistema B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Procura erros, condições contrárias ou evidências capazes de mudar o resultado; sua resposta não é combinada em uma média com a de A.</w:t>
            </w:r>
          </w:p>
        </w:tc>
      </w:tr>
      <w:tr>
        <w:trPr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Responsável pelo teste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Mantém separados dados, registros, configurações e acessos; documenta dependências comuns e divergências.</w:t>
            </w:r>
          </w:p>
        </w:tc>
      </w:tr>
      <w:tr>
        <w:trPr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Revisor competente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Reconstrói o ponto controvertido dentro da janela de controle disponível e pode restringir, suspender ou interromper.</w:t>
            </w:r>
          </w:p>
        </w:tc>
      </w:tr>
      <w:tr>
        <w:trPr>
          <w:cantSplit/>
        </w:trPr>
        <w:tc>
          <w:tcPr>
            <w:tcW w:type="dxa" w:w="24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Autoridade para interromper</w:t>
            </w:r>
          </w:p>
        </w:tc>
        <w:tc>
          <w:tcPr>
            <w:tcW w:type="dxa" w:w="74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Aplica a consequência definida por escrito sem aguardar o fornecedor nem um consenso informal.</w:t>
            </w:r>
          </w:p>
        </w:tc>
      </w:tr>
    </w:tbl>
    <w:p>
      <w:pPr>
        <w:spacing w:after="0"/>
      </w:pPr>
    </w:p>
    <w:p>
      <w:pPr>
        <w:pStyle w:val="Heading1"/>
      </w:pPr>
      <w:r>
        <w:t>3. Condições anteriores ao teste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670"/>
        <w:gridCol w:w="7220"/>
      </w:tblGrid>
      <w:tr>
        <w:trPr>
          <w:tblHeader w:val="true"/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Antes da ativação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Pergunta que deve ser resolvida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Resultado legítimo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Qual resultado seria aceitável e qual melhoria observável o justificaria?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Ações proibidas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O que nenhum dos dois sistemas pode decidir ou executar?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Grupos expostos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Quem recebe o benefício e quem assume risco, demora, trabalho ou dificuldade para contestar?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Janela de controle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Quanto tempo existe entre o erro e uma consequência que se torna difícil de corrigir?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Divergência decisiva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Qual discordância obriga a reabrir o caso ou impede que o efeito seja produzido?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Interrupção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Quem pode interromper o processo, diante de qual sinal e qual serviço continua no modo degradado?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Saída</w:t>
            </w:r>
          </w:p>
        </w:tc>
        <w:tc>
          <w:tcPr>
            <w:tcW w:type="dxa" w:w="722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Dados, registros, configurações e permissões podem ser reconstruídos sem o serviço principal?</w:t>
            </w:r>
          </w:p>
        </w:tc>
      </w:tr>
    </w:tbl>
    <w:p>
      <w:pPr>
        <w:spacing w:after="0"/>
      </w:pPr>
    </w:p>
    <w:p>
      <w:pPr>
        <w:pStyle w:val="Heading1"/>
      </w:pPr>
      <w:r>
        <w:t>4. Biblioteca de casos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O teste não utiliza somente amostras convenientes. Constrói uma biblioteca versionada de falhas realistas e conserva, para cada caso, o resultado legítimo, o que poderia refutá-lo e a pessoa competente capaz de reconstruí-lo.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74"/>
        <w:gridCol w:w="7516"/>
      </w:tblGrid>
      <w:tr>
        <w:trPr>
          <w:tblHeader w:val="true"/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Família de casos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O que deve ser testado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 comum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Desempenho esperado, tempo real de processamento e legibilidade da explicação.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Caso-limite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Condição rara, porém plausível, capaz de mudar o resultado.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Dados incompletos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Capacidade de reconhecer o que falta e impedir uma falsa confiança.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Instruções conflitantes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Prioridade, encaminhamento e rastreabilidade da regra aplicada.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 correlacionado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Fonte, anotação, dependência ou métrica compartilhada que pode induzir os dois sistemas ao mesmo erro.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Sobrecarga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Concorrência, atenção e capacidade de revisão no volume previsto.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Indisponibilidade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Modo degradado, continuidade, retomada e custos transferidos a usuários e equipe.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Saída</w:t>
            </w:r>
          </w:p>
        </w:tc>
        <w:tc>
          <w:tcPr>
            <w:tcW w:type="dxa" w:w="75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Reabertura de um caso fora do serviço principal com permissões e configurações funcionais.</w:t>
            </w:r>
          </w:p>
        </w:tc>
      </w:tr>
    </w:tbl>
    <w:p>
      <w:pPr>
        <w:spacing w:after="0"/>
      </w:pPr>
    </w:p>
    <w:p>
      <w:pPr>
        <w:pStyle w:val="Heading1"/>
      </w:pPr>
      <w:r>
        <w:t>5. Procedimento por fases</w:t>
      </w:r>
    </w:p>
    <w:p>
      <w:pPr>
        <w:pStyle w:val="Heading2"/>
      </w:pPr>
      <w:r>
        <w:t>Fase 0 - Preparação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Preencha Finalidade, Mandato, Evidência, Distribuição, Dano, Recurso e Saída. Registre a divergência decisiva, o limiar de interrupção, o modo degradado e os dados proibidos antes de observar o desempenho de qualquer sistema.</w:t>
      </w:r>
    </w:p>
    <w:p>
      <w:pPr>
        <w:pStyle w:val="Heading2"/>
      </w:pPr>
      <w:r>
        <w:t>Fase 1 - Modo sombra separado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 e B observam os mesmos casos sem produzir efeitos externos. Entradas, versões, resultados, fontes e registros permanecem separados. Uma pessoa compara os pontos decisivos, não apenas a semelhança linguística.</w:t>
      </w:r>
    </w:p>
    <w:p>
      <w:pPr>
        <w:pStyle w:val="Heading2"/>
      </w:pPr>
      <w:r>
        <w:t>Fase 2 - Erros correlacionados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Introduza fontes comuns defeituosas, dados ausentes, exceções raras, instruções conflitantes, componentes compartilhados e indisponibilidade. Verifique se a concordância oculta uma dependência comum.</w:t>
      </w:r>
    </w:p>
    <w:p>
      <w:pPr>
        <w:pStyle w:val="Heading2"/>
      </w:pPr>
      <w:r>
        <w:t>Fase 3 - Reconstrução sob carga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Repita o teste com o volume e a concorrência previstos. Meça o tempo necessário para encontrar o fato que muda o resultado, comparar a alternativa e interromper antes que o dano ocorra.</w:t>
      </w:r>
    </w:p>
    <w:p>
      <w:pPr>
        <w:pStyle w:val="Heading2"/>
      </w:pPr>
      <w:r>
        <w:t>Fase 4 - Volume limitado e reversível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Somente se as fases anteriores se sustentarem, use um perímetro restrito com efeitos reversíveis, registros completos, uma pessoa acessível e interrupção imediata. Uma média favorável não autoriza automaticamente a ampliação.</w:t>
      </w:r>
    </w:p>
    <w:p>
      <w:pPr>
        <w:pStyle w:val="Heading2"/>
      </w:pPr>
      <w:r>
        <w:t>Fase 5 - Saída e reexame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Exporte e reabra um caso com dados, configurações e permissões fora do serviço principal. Reexamine quando mudarem modelo, dados, fornecedor, escala, tarefa ou responsáveis, ou quando chegar o prazo estabelecido.</w:t>
      </w:r>
    </w:p>
    <w:p>
      <w:pPr>
        <w:pStyle w:val="Heading1"/>
      </w:pPr>
      <w:r>
        <w:t>6. Condições específicas da revisão com dois sistemas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967"/>
        <w:gridCol w:w="6923"/>
      </w:tblGrid>
      <w:tr>
        <w:trPr>
          <w:tblHeader w:val="true"/>
          <w:cantSplit/>
        </w:trPr>
        <w:tc>
          <w:tcPr>
            <w:tcW w:type="dxa" w:w="29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Condição</w:t>
            </w:r>
          </w:p>
        </w:tc>
        <w:tc>
          <w:tcPr>
            <w:tcW w:type="dxa" w:w="69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Verificação necessária</w:t>
            </w:r>
          </w:p>
        </w:tc>
      </w:tr>
      <w:tr>
        <w:trPr>
          <w:cantSplit/>
        </w:trPr>
        <w:tc>
          <w:tcPr>
            <w:tcW w:type="dxa" w:w="29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Independência efetiva</w:t>
            </w:r>
          </w:p>
        </w:tc>
        <w:tc>
          <w:tcPr>
            <w:tcW w:type="dxa" w:w="69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Demonstrar separação ou diferenças pertinentes em fontes, dados, objetivos e registros. Um nome, modelo ou fornecedor diferente não basta.</w:t>
            </w:r>
          </w:p>
        </w:tc>
      </w:tr>
      <w:tr>
        <w:trPr>
          <w:cantSplit/>
        </w:trPr>
        <w:tc>
          <w:tcPr>
            <w:tcW w:type="dxa" w:w="29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Erros correlacionados</w:t>
            </w:r>
          </w:p>
        </w:tc>
        <w:tc>
          <w:tcPr>
            <w:tcW w:type="dxa" w:w="69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Procurar falhas compartilhadas: fontes comuns, anotações e métricas idênticas, dependências comuns, dados incompletos, instruções conflitantes, sobrecarga e indisponibilidade. A concordância ainda pode estar errada da mesma maneira.</w:t>
            </w:r>
          </w:p>
        </w:tc>
      </w:tr>
      <w:tr>
        <w:trPr>
          <w:cantSplit/>
        </w:trPr>
        <w:tc>
          <w:tcPr>
            <w:tcW w:type="dxa" w:w="29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Divergência decisiva</w:t>
            </w:r>
          </w:p>
        </w:tc>
        <w:tc>
          <w:tcPr>
            <w:tcW w:type="dxa" w:w="69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Definir antecipadamente qual discordância pode mudar o resultado; manter separados entradas, versões, resultados e registros. Não calcular médias de pontuações ou níveis de confiança para transformar discordância em autorização.</w:t>
            </w:r>
          </w:p>
        </w:tc>
      </w:tr>
      <w:tr>
        <w:trPr>
          <w:cantSplit/>
        </w:trPr>
        <w:tc>
          <w:tcPr>
            <w:tcW w:type="dxa" w:w="296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Interrupção predefinida</w:t>
            </w:r>
          </w:p>
        </w:tc>
        <w:tc>
          <w:tcPr>
            <w:tcW w:type="dxa" w:w="69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Se uma divergência decisiva não puder ser reconstruída dentro da janela de controle, aplicar a consequência escrita: restringir o Mandato, passar ao modo degradado, Não delegar antes do início ou Interromper o uso ativo.</w:t>
            </w:r>
          </w:p>
        </w:tc>
      </w:tr>
    </w:tbl>
    <w:p>
      <w:pPr>
        <w:spacing w:after="0"/>
      </w:pPr>
    </w:p>
    <w:p>
      <w:pPr>
        <w:pStyle w:val="Heading1"/>
      </w:pPr>
      <w:r>
        <w:t>7. Registro mínimo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571"/>
        <w:gridCol w:w="7319"/>
      </w:tblGrid>
      <w:tr>
        <w:trPr>
          <w:tblHeader w:val="true"/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Campo do registro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Conteúdo a conservar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Identificação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Caso, data, titular, versão A, versão B, configurações e fontes.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Entradas separadas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Dados disponíveis para cada sistema, elementos excluídos e transformações aplicadas.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Resultados separados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Respostas, fontes citadas, incerteza, alternativas e etapas intermediárias disponíveis.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Concordância ou divergência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Ponto substantivo, e não mera diferença de estilo; possível efeito sobre a decisão.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Reconstrução humana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Fato decisivo, regra, alternativa, tempo necessário e competência exigida.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Consequência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Prosseguir no modo sombra, repetir, restringir o Mandato, passar ao modo degradado, Não delegar ou Interromper.</w:t>
            </w:r>
          </w:p>
        </w:tc>
      </w:tr>
      <w:tr>
        <w:trPr>
          <w:cantSplit/>
        </w:trPr>
        <w:tc>
          <w:tcPr>
            <w:tcW w:type="dxa" w:w="257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Custo</w:t>
            </w:r>
          </w:p>
        </w:tc>
        <w:tc>
          <w:tcPr>
            <w:tcW w:type="dxa" w:w="73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Horas, demoras, treinamento, contestações, dependência, energia e trabalho de saída.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8. Regras de decisão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363"/>
        <w:gridCol w:w="6527"/>
      </w:tblGrid>
      <w:tr>
        <w:trPr>
          <w:tblHeader w:val="true"/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Situação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Consequência mínima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e B concordam, mas compartilham uma dependência não verificada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evidência permanece Não resolvida; não ampliar o Mandato.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e B divergem em um ponto não decisivo, e o motivo pode ser reconstruído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Registrar; manter o perímetro; revisar a biblioteca de casos.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Uma divergência decisiva pode ser reconstruída dentro da janela de controle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Encaminhar ao revisor competente; o efeito permanece suspenso até o encerramento do caso.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Uma divergência decisiva não pode ser reconstruída a tempo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Restringir o Mandato ou passar ao modo degradado; se o poder já estiver ativo, Interromper.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Os dois sistemas falham no mesmo caso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Tratar a concordância como erro correlacionado; corrigir fontes, dados, objetivos ou processo antes de repetir.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carga torna nominal a supervisão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Reduzir o volume ou a modalidade; financiar capacidade humana; não acrescentar uma assinatura meramente decorativa.</w:t>
            </w:r>
          </w:p>
        </w:tc>
      </w:tr>
      <w:tr>
        <w:trPr>
          <w:cantSplit/>
        </w:trPr>
        <w:tc>
          <w:tcPr>
            <w:tcW w:type="dxa" w:w="336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 saída não permite reconstruir o serviço</w:t>
            </w:r>
          </w:p>
        </w:tc>
        <w:tc>
          <w:tcPr>
            <w:tcW w:type="dxa" w:w="652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Condição Bloqueante: Não delegar antes do início ou Interromper o uso ativo.</w:t>
            </w:r>
          </w:p>
        </w:tc>
      </w:tr>
    </w:tbl>
    <w:p>
      <w:pPr>
        <w:spacing w:after="0"/>
      </w:pPr>
    </w:p>
    <w:p>
      <w:pPr>
        <w:pStyle w:val="Heading1"/>
      </w:pPr>
      <w:r>
        <w:t>9. Registro de encerramento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RESULTADO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O registro conserva versão, perímetro testado, casos de falha, divergências, horas de supervisão, custos, condições não resolvidas, decisão organizacional, pessoa responsável, condição de interrupção e data de reexame. Um bom resultado não autoriza tarefas, dados ou volumes que não tenham sido testados.</w:t>
            </w:r>
          </w:p>
        </w:tc>
      </w:tr>
    </w:tbl>
    <w:p>
      <w:pPr>
        <w:spacing w:after="0"/>
      </w:pPr>
    </w:p>
    <w:p>
      <w:pPr>
        <w:pStyle w:val="Heading2"/>
      </w:pPr>
      <w:r>
        <w:t>Lista de verificação para o encerramento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450"/>
        <w:gridCol w:w="5440"/>
      </w:tblGrid>
      <w:tr>
        <w:trPr>
          <w:tblHeader w:val="true"/>
          <w:cantSplit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Controle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Resultado e referência</w:t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Versões A e B identificadas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Dependências comuns documentadas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Divergências decisivas reconstruídas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Carga real e janela de controle testadas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Recurso e autoridade para interromper acessíveis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Modo degradado e Saída testados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[ ] Custos de supervisão e não adoção registrados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Decisão organizacional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[ ] Prosseguir [ ] Limitar e testar [ ] Não delegar [ ] Interromper</w:t>
            </w:r>
          </w:p>
        </w:tc>
      </w:tr>
      <w:tr>
        <w:trPr>
          <w:cantSplit/>
          <w:trHeight w:val="36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Pessoa responsável, assinatura, data e reexame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Protocolo avançado de teste com dois sistemas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Protocolo avançado de teste com dois sistemas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avançado de teste com dois sistemas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