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tipo editorial da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RECURSOS OFICIAIS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Protocolo avançado de teste com dois sistemas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Como usar um segundo sistema sem transformá-lo em aprovação automática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PROTOCOLO OPERACIONAL AMPLIADO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Versão arquivada da edição brasileira - julho de 2026 - Formato US Letter (8,5 x 11 pol.)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https://www.corneritaliano.com/pt/2050/recursos/</w:t>
        </w:r>
      </w:hyperlink>
    </w:p>
    <w:p>
      <w:r>
        <w:br w:type="page"/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REGRA FUNDAMENTAL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Um segundo sistema pode procurar erros ou condições contrárias; não constitui uma verificação independente apenas por ter nome, modelo ou fornecedor diferente. Ele acrescenta evidência ao Teste, não cria um segundo Teste nem uma forma de somar votos.</w:t>
            </w:r>
          </w:p>
        </w:tc>
      </w:tr>
    </w:tbl>
    <w:p>
      <w:pPr>
        <w:spacing w:after="0"/>
      </w:pP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Antes de usá-lo, defina o resultado legítimo, as ações proibidas, os grupos expostos, o tempo até o dano, a divergência capaz de mudar o resultado, a pessoa responsável e a condição de interrupção. Teste primeiro no modo sombra com casos adversos e, somente depois, se houver justificativa, com volume limitado e reversível. Um segundo sistema não resolve, por si só, conflitos de valores, acesso desigual, capacidade organizacional insuficiente ou ausência de Recurso.</w:t>
      </w:r>
    </w:p>
    <w:p>
      <w:pPr>
        <w:pStyle w:val="Heading1"/>
      </w:pPr>
      <w:r>
        <w:t>1. Finalidade e limites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O protocolo é usado quando uma organização pretende combinar seu sistema principal com um segundo sistema capaz de procurar erros, condições contrárias ou motivos para reabrir o caso. O segundo sistema produz evidência adicional; não substitui o Teste 2050, o juízo competente, o Recurso ou a autoridade para interromper.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A concordância entre os sistemas não demonstra que um resultado esteja correto. A discordância não autoriza uma média automática. Ambos podem depender das mesmas fontes, dados, rótulos ou infraestrutura e, por isso, falhar da mesma maneira.</w:t>
      </w:r>
    </w:p>
    <w:p>
      <w:pPr>
        <w:pStyle w:val="Heading1"/>
      </w:pPr>
      <w:r>
        <w:t>2. Funções e separação de responsabilidades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556"/>
        <w:gridCol w:w="7668"/>
      </w:tblGrid>
      <w:tr>
        <w:trPr>
          <w:tblHeader w:val="true"/>
          <w:cantSplit/>
        </w:trPr>
        <w:tc>
          <w:tcPr>
            <w:tcW w:type="dxa" w:w="255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Função</w:t>
            </w:r>
          </w:p>
        </w:tc>
        <w:tc>
          <w:tcPr>
            <w:tcW w:type="dxa" w:w="766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Responsabilidade mínima</w:t>
            </w:r>
          </w:p>
        </w:tc>
      </w:tr>
      <w:tr>
        <w:trPr>
          <w:cantSplit/>
        </w:trPr>
        <w:tc>
          <w:tcPr>
            <w:tcW w:type="dxa" w:w="255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Titular do Teste</w:t>
            </w:r>
          </w:p>
        </w:tc>
        <w:tc>
          <w:tcPr>
            <w:tcW w:type="dxa" w:w="766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Define o problema, o Mandato, os limiares não compensáveis e a decisão organizacional. Não delega a aprovação aos dois sistemas.</w:t>
            </w:r>
          </w:p>
        </w:tc>
      </w:tr>
      <w:tr>
        <w:trPr>
          <w:cantSplit/>
        </w:trPr>
        <w:tc>
          <w:tcPr>
            <w:tcW w:type="dxa" w:w="255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Sistema A</w:t>
            </w:r>
          </w:p>
        </w:tc>
        <w:tc>
          <w:tcPr>
            <w:tcW w:type="dxa" w:w="766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Executa a tarefa dentro do perímetro experimental e conserva entradas, versão, resultados, fontes e incerteza.</w:t>
            </w:r>
          </w:p>
        </w:tc>
      </w:tr>
      <w:tr>
        <w:trPr>
          <w:cantSplit/>
        </w:trPr>
        <w:tc>
          <w:tcPr>
            <w:tcW w:type="dxa" w:w="255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Sistema B</w:t>
            </w:r>
          </w:p>
        </w:tc>
        <w:tc>
          <w:tcPr>
            <w:tcW w:type="dxa" w:w="766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Procura erros, condições contrárias ou evidências capazes de mudar o resultado; sua resposta não é combinada em uma média com a de A.</w:t>
            </w:r>
          </w:p>
        </w:tc>
      </w:tr>
      <w:tr>
        <w:trPr>
          <w:cantSplit/>
        </w:trPr>
        <w:tc>
          <w:tcPr>
            <w:tcW w:type="dxa" w:w="255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Responsável pelo teste</w:t>
            </w:r>
          </w:p>
        </w:tc>
        <w:tc>
          <w:tcPr>
            <w:tcW w:type="dxa" w:w="766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Mantém separados dados, registros, configurações e acessos; documenta dependências comuns e divergências.</w:t>
            </w:r>
          </w:p>
        </w:tc>
      </w:tr>
      <w:tr>
        <w:trPr>
          <w:cantSplit/>
        </w:trPr>
        <w:tc>
          <w:tcPr>
            <w:tcW w:type="dxa" w:w="255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Revisor competente</w:t>
            </w:r>
          </w:p>
        </w:tc>
        <w:tc>
          <w:tcPr>
            <w:tcW w:type="dxa" w:w="766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Reconstrói o ponto controvertido dentro da janela de controle disponível e pode restringir, suspender ou interromper.</w:t>
            </w:r>
          </w:p>
        </w:tc>
      </w:tr>
      <w:tr>
        <w:trPr>
          <w:cantSplit/>
        </w:trPr>
        <w:tc>
          <w:tcPr>
            <w:tcW w:type="dxa" w:w="255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Autoridade para interromper</w:t>
            </w:r>
          </w:p>
        </w:tc>
        <w:tc>
          <w:tcPr>
            <w:tcW w:type="dxa" w:w="766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Aplica a consequência definida por escrito sem aguardar o fornecedor nem um consenso informal.</w:t>
            </w:r>
          </w:p>
        </w:tc>
      </w:tr>
    </w:tbl>
    <w:p>
      <w:pPr>
        <w:spacing w:after="0"/>
      </w:pPr>
    </w:p>
    <w:p>
      <w:pPr>
        <w:pStyle w:val="Heading1"/>
      </w:pPr>
      <w:r>
        <w:t>3. Condições anteriores ao teste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760"/>
        <w:gridCol w:w="7464"/>
      </w:tblGrid>
      <w:tr>
        <w:trPr>
          <w:tblHeader w:val="true"/>
          <w:cantSplit/>
        </w:trPr>
        <w:tc>
          <w:tcPr>
            <w:tcW w:type="dxa" w:w="27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Antes da ativação</w:t>
            </w:r>
          </w:p>
        </w:tc>
        <w:tc>
          <w:tcPr>
            <w:tcW w:type="dxa" w:w="746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Pergunta que deve ser resolvida</w:t>
            </w:r>
          </w:p>
        </w:tc>
      </w:tr>
      <w:tr>
        <w:trPr>
          <w:cantSplit/>
        </w:trPr>
        <w:tc>
          <w:tcPr>
            <w:tcW w:type="dxa" w:w="27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Resultado legítimo</w:t>
            </w:r>
          </w:p>
        </w:tc>
        <w:tc>
          <w:tcPr>
            <w:tcW w:type="dxa" w:w="746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Qual resultado seria aceitável e qual melhoria observável o justificaria?</w:t>
            </w:r>
          </w:p>
        </w:tc>
      </w:tr>
      <w:tr>
        <w:trPr>
          <w:cantSplit/>
        </w:trPr>
        <w:tc>
          <w:tcPr>
            <w:tcW w:type="dxa" w:w="27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Ações proibidas</w:t>
            </w:r>
          </w:p>
        </w:tc>
        <w:tc>
          <w:tcPr>
            <w:tcW w:type="dxa" w:w="746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O que nenhum dos dois sistemas pode decidir ou executar?</w:t>
            </w:r>
          </w:p>
        </w:tc>
      </w:tr>
      <w:tr>
        <w:trPr>
          <w:cantSplit/>
        </w:trPr>
        <w:tc>
          <w:tcPr>
            <w:tcW w:type="dxa" w:w="27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Grupos expostos</w:t>
            </w:r>
          </w:p>
        </w:tc>
        <w:tc>
          <w:tcPr>
            <w:tcW w:type="dxa" w:w="746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Quem recebe o benefício e quem assume risco, demora, trabalho ou dificuldade para contestar?</w:t>
            </w:r>
          </w:p>
        </w:tc>
      </w:tr>
      <w:tr>
        <w:trPr>
          <w:cantSplit/>
        </w:trPr>
        <w:tc>
          <w:tcPr>
            <w:tcW w:type="dxa" w:w="27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Janela de controle</w:t>
            </w:r>
          </w:p>
        </w:tc>
        <w:tc>
          <w:tcPr>
            <w:tcW w:type="dxa" w:w="746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Quanto tempo existe entre o erro e uma consequência que se torna difícil de corrigir?</w:t>
            </w:r>
          </w:p>
        </w:tc>
      </w:tr>
      <w:tr>
        <w:trPr>
          <w:cantSplit/>
        </w:trPr>
        <w:tc>
          <w:tcPr>
            <w:tcW w:type="dxa" w:w="27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Divergência decisiva</w:t>
            </w:r>
          </w:p>
        </w:tc>
        <w:tc>
          <w:tcPr>
            <w:tcW w:type="dxa" w:w="746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Qual discordância obriga a reabrir o caso ou impede que o efeito seja produzido?</w:t>
            </w:r>
          </w:p>
        </w:tc>
      </w:tr>
      <w:tr>
        <w:trPr>
          <w:cantSplit/>
        </w:trPr>
        <w:tc>
          <w:tcPr>
            <w:tcW w:type="dxa" w:w="27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Interrupção</w:t>
            </w:r>
          </w:p>
        </w:tc>
        <w:tc>
          <w:tcPr>
            <w:tcW w:type="dxa" w:w="746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Quem pode interromper o processo, diante de qual sinal e qual serviço continua no modo degradado?</w:t>
            </w:r>
          </w:p>
        </w:tc>
      </w:tr>
      <w:tr>
        <w:trPr>
          <w:cantSplit/>
        </w:trPr>
        <w:tc>
          <w:tcPr>
            <w:tcW w:type="dxa" w:w="27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Saída</w:t>
            </w:r>
          </w:p>
        </w:tc>
        <w:tc>
          <w:tcPr>
            <w:tcW w:type="dxa" w:w="746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Dados, registros, configurações e permissões podem ser reconstruídos sem o serviço principal?</w:t>
            </w:r>
          </w:p>
        </w:tc>
      </w:tr>
    </w:tbl>
    <w:p>
      <w:pPr>
        <w:spacing w:after="0"/>
      </w:pPr>
    </w:p>
    <w:p>
      <w:pPr>
        <w:pStyle w:val="Heading1"/>
      </w:pPr>
      <w:r>
        <w:t>4. Biblioteca de casos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O teste não utiliza somente amostras convenientes. Constrói uma biblioteca versionada de falhas realistas e conserva, para cada caso, o resultado legítimo, o que poderia refutá-lo e a pessoa competente capaz de reconstruí-lo.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454"/>
        <w:gridCol w:w="7770"/>
      </w:tblGrid>
      <w:tr>
        <w:trPr>
          <w:tblHeader w:val="true"/>
          <w:cantSplit/>
        </w:trPr>
        <w:tc>
          <w:tcPr>
            <w:tcW w:type="dxa" w:w="245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Família de casos</w:t>
            </w:r>
          </w:p>
        </w:tc>
        <w:tc>
          <w:tcPr>
            <w:tcW w:type="dxa" w:w="77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O que deve ser testado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Caso comum</w:t>
            </w:r>
          </w:p>
        </w:tc>
        <w:tc>
          <w:tcPr>
            <w:tcW w:type="dxa" w:w="77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Desempenho esperado, tempo real de processamento e legibilidade da explicação.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Caso-limite</w:t>
            </w:r>
          </w:p>
        </w:tc>
        <w:tc>
          <w:tcPr>
            <w:tcW w:type="dxa" w:w="77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Condição rara, porém plausível, capaz de mudar o resultado.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Dados incompletos</w:t>
            </w:r>
          </w:p>
        </w:tc>
        <w:tc>
          <w:tcPr>
            <w:tcW w:type="dxa" w:w="77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Capacidade de reconhecer o que falta e impedir uma falsa confiança.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Instruções conflitantes</w:t>
            </w:r>
          </w:p>
        </w:tc>
        <w:tc>
          <w:tcPr>
            <w:tcW w:type="dxa" w:w="77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Prioridade, encaminhamento e rastreabilidade da regra aplicada.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Erro correlacionado</w:t>
            </w:r>
          </w:p>
        </w:tc>
        <w:tc>
          <w:tcPr>
            <w:tcW w:type="dxa" w:w="77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Fonte, anotação, dependência ou métrica compartilhada que pode induzir os dois sistemas ao mesmo erro.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Sobrecarga</w:t>
            </w:r>
          </w:p>
        </w:tc>
        <w:tc>
          <w:tcPr>
            <w:tcW w:type="dxa" w:w="77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Concorrência, atenção e capacidade de revisão no volume previsto.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Indisponibilidade</w:t>
            </w:r>
          </w:p>
        </w:tc>
        <w:tc>
          <w:tcPr>
            <w:tcW w:type="dxa" w:w="77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Modo degradado, continuidade, retomada e custos transferidos a usuários e equipe.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Saída</w:t>
            </w:r>
          </w:p>
        </w:tc>
        <w:tc>
          <w:tcPr>
            <w:tcW w:type="dxa" w:w="77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Reabertura de um caso fora do serviço principal com permissões e configurações funcionais.</w:t>
            </w:r>
          </w:p>
        </w:tc>
      </w:tr>
    </w:tbl>
    <w:p>
      <w:pPr>
        <w:spacing w:after="0"/>
      </w:pPr>
    </w:p>
    <w:p>
      <w:pPr>
        <w:pStyle w:val="Heading1"/>
      </w:pPr>
      <w:r>
        <w:t>5. Procedimento por fases</w:t>
      </w:r>
    </w:p>
    <w:p>
      <w:pPr>
        <w:pStyle w:val="Heading2"/>
      </w:pPr>
      <w:r>
        <w:t>Fase 0 - Preparação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Preencha Finalidade, Mandato, Evidência, Distribuição, Dano, Recurso e Saída. Registre a divergência decisiva, o limiar de interrupção, o modo degradado e os dados proibidos antes de observar o desempenho de qualquer sistema.</w:t>
      </w:r>
    </w:p>
    <w:p>
      <w:pPr>
        <w:pStyle w:val="Heading2"/>
      </w:pPr>
      <w:r>
        <w:t>Fase 1 - Modo sombra separado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A e B observam os mesmos casos sem produzir efeitos externos. Entradas, versões, resultados, fontes e registros permanecem separados. Uma pessoa compara os pontos decisivos, não apenas a semelhança linguística.</w:t>
      </w:r>
    </w:p>
    <w:p>
      <w:pPr>
        <w:pStyle w:val="Heading2"/>
      </w:pPr>
      <w:r>
        <w:t>Fase 2 - Erros correlacionados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Introduza fontes comuns defeituosas, dados ausentes, exceções raras, instruções conflitantes, componentes compartilhados e indisponibilidade. Verifique se a concordância oculta uma dependência comum.</w:t>
      </w:r>
    </w:p>
    <w:p>
      <w:pPr>
        <w:pStyle w:val="Heading2"/>
      </w:pPr>
      <w:r>
        <w:t>Fase 3 - Reconstrução sob carga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Repita o teste com o volume e a concorrência previstos. Meça o tempo necessário para encontrar o fato que muda o resultado, comparar a alternativa e interromper antes que o dano ocorra.</w:t>
      </w:r>
    </w:p>
    <w:p>
      <w:pPr>
        <w:pStyle w:val="Heading2"/>
      </w:pPr>
      <w:r>
        <w:t>Fase 4 - Volume limitado e reversível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Somente se as fases anteriores se sustentarem, use um perímetro restrito com efeitos reversíveis, registros completos, uma pessoa acessível e interrupção imediata. Uma média favorável não autoriza automaticamente a ampliação.</w:t>
      </w:r>
    </w:p>
    <w:p>
      <w:pPr>
        <w:pStyle w:val="Heading2"/>
      </w:pPr>
      <w:r>
        <w:t>Fase 5 - Saída e reexame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Exporte e reabra um caso com dados, configurações e permissões fora do serviço principal. Reexamine quando mudarem modelo, dados, fornecedor, escala, tarefa ou responsáveis, ou quando chegar o prazo estabelecido.</w:t>
      </w:r>
    </w:p>
    <w:p>
      <w:pPr>
        <w:pStyle w:val="Heading1"/>
      </w:pPr>
      <w:r>
        <w:t>6. Condições específicas da revisão com dois sistemas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067"/>
        <w:gridCol w:w="7157"/>
      </w:tblGrid>
      <w:tr>
        <w:trPr>
          <w:tblHeader w:val="true"/>
          <w:cantSplit/>
        </w:trPr>
        <w:tc>
          <w:tcPr>
            <w:tcW w:type="dxa" w:w="306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Condição</w:t>
            </w:r>
          </w:p>
        </w:tc>
        <w:tc>
          <w:tcPr>
            <w:tcW w:type="dxa" w:w="71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Verificação necessária</w:t>
            </w:r>
          </w:p>
        </w:tc>
      </w:tr>
      <w:tr>
        <w:trPr>
          <w:cantSplit/>
        </w:trPr>
        <w:tc>
          <w:tcPr>
            <w:tcW w:type="dxa" w:w="306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Independência efetiva</w:t>
            </w:r>
          </w:p>
        </w:tc>
        <w:tc>
          <w:tcPr>
            <w:tcW w:type="dxa" w:w="71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Demonstrar separação ou diferenças pertinentes em fontes, dados, objetivos e registros. Um nome, modelo ou fornecedor diferente não basta.</w:t>
            </w:r>
          </w:p>
        </w:tc>
      </w:tr>
      <w:tr>
        <w:trPr>
          <w:cantSplit/>
        </w:trPr>
        <w:tc>
          <w:tcPr>
            <w:tcW w:type="dxa" w:w="306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Erros correlacionados</w:t>
            </w:r>
          </w:p>
        </w:tc>
        <w:tc>
          <w:tcPr>
            <w:tcW w:type="dxa" w:w="71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Procurar falhas compartilhadas: fontes comuns, anotações e métricas idênticas, dependências comuns, dados incompletos, instruções conflitantes, sobrecarga e indisponibilidade. A concordância ainda pode estar errada da mesma maneira.</w:t>
            </w:r>
          </w:p>
        </w:tc>
      </w:tr>
      <w:tr>
        <w:trPr>
          <w:cantSplit/>
        </w:trPr>
        <w:tc>
          <w:tcPr>
            <w:tcW w:type="dxa" w:w="306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Divergência decisiva</w:t>
            </w:r>
          </w:p>
        </w:tc>
        <w:tc>
          <w:tcPr>
            <w:tcW w:type="dxa" w:w="71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Definir antecipadamente qual discordância pode mudar o resultado; manter separados entradas, versões, resultados e registros. Não calcular médias de pontuações ou níveis de confiança para transformar discordância em autorização.</w:t>
            </w:r>
          </w:p>
        </w:tc>
      </w:tr>
      <w:tr>
        <w:trPr>
          <w:cantSplit/>
        </w:trPr>
        <w:tc>
          <w:tcPr>
            <w:tcW w:type="dxa" w:w="306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Interrupção predefinida</w:t>
            </w:r>
          </w:p>
        </w:tc>
        <w:tc>
          <w:tcPr>
            <w:tcW w:type="dxa" w:w="71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Se uma divergência decisiva não puder ser reconstruída dentro da janela de controle, aplicar a consequência escrita: restringir o Mandato, passar ao modo degradado, Não delegar antes do início ou Interromper o uso ativo.</w:t>
            </w:r>
          </w:p>
        </w:tc>
      </w:tr>
    </w:tbl>
    <w:p>
      <w:pPr>
        <w:spacing w:after="0"/>
      </w:pPr>
    </w:p>
    <w:p>
      <w:pPr>
        <w:pStyle w:val="Heading1"/>
      </w:pPr>
      <w:r>
        <w:t>7. Registro mínimo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658"/>
        <w:gridCol w:w="7566"/>
      </w:tblGrid>
      <w:tr>
        <w:trPr>
          <w:tblHeader w:val="true"/>
          <w:cantSplit/>
        </w:trPr>
        <w:tc>
          <w:tcPr>
            <w:tcW w:type="dxa" w:w="265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Campo do registro</w:t>
            </w:r>
          </w:p>
        </w:tc>
        <w:tc>
          <w:tcPr>
            <w:tcW w:type="dxa" w:w="756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Conteúdo a conservar</w:t>
            </w:r>
          </w:p>
        </w:tc>
      </w:tr>
      <w:tr>
        <w:trPr>
          <w:cantSplit/>
        </w:trPr>
        <w:tc>
          <w:tcPr>
            <w:tcW w:type="dxa" w:w="265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Identificação</w:t>
            </w:r>
          </w:p>
        </w:tc>
        <w:tc>
          <w:tcPr>
            <w:tcW w:type="dxa" w:w="756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Caso, data, titular, versão A, versão B, configurações e fontes.</w:t>
            </w:r>
          </w:p>
        </w:tc>
      </w:tr>
      <w:tr>
        <w:trPr>
          <w:cantSplit/>
        </w:trPr>
        <w:tc>
          <w:tcPr>
            <w:tcW w:type="dxa" w:w="265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Entradas separadas</w:t>
            </w:r>
          </w:p>
        </w:tc>
        <w:tc>
          <w:tcPr>
            <w:tcW w:type="dxa" w:w="756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Dados disponíveis para cada sistema, elementos excluídos e transformações aplicadas.</w:t>
            </w:r>
          </w:p>
        </w:tc>
      </w:tr>
      <w:tr>
        <w:trPr>
          <w:cantSplit/>
        </w:trPr>
        <w:tc>
          <w:tcPr>
            <w:tcW w:type="dxa" w:w="265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Resultados separados</w:t>
            </w:r>
          </w:p>
        </w:tc>
        <w:tc>
          <w:tcPr>
            <w:tcW w:type="dxa" w:w="756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Respostas, fontes citadas, incerteza, alternativas e etapas intermediárias disponíveis.</w:t>
            </w:r>
          </w:p>
        </w:tc>
      </w:tr>
      <w:tr>
        <w:trPr>
          <w:cantSplit/>
        </w:trPr>
        <w:tc>
          <w:tcPr>
            <w:tcW w:type="dxa" w:w="265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Concordância ou divergência</w:t>
            </w:r>
          </w:p>
        </w:tc>
        <w:tc>
          <w:tcPr>
            <w:tcW w:type="dxa" w:w="756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Ponto substantivo, e não mera diferença de estilo; possível efeito sobre a decisão.</w:t>
            </w:r>
          </w:p>
        </w:tc>
      </w:tr>
      <w:tr>
        <w:trPr>
          <w:cantSplit/>
        </w:trPr>
        <w:tc>
          <w:tcPr>
            <w:tcW w:type="dxa" w:w="265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Reconstrução humana</w:t>
            </w:r>
          </w:p>
        </w:tc>
        <w:tc>
          <w:tcPr>
            <w:tcW w:type="dxa" w:w="756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Fato decisivo, regra, alternativa, tempo necessário e competência exigida.</w:t>
            </w:r>
          </w:p>
        </w:tc>
      </w:tr>
      <w:tr>
        <w:trPr>
          <w:cantSplit/>
        </w:trPr>
        <w:tc>
          <w:tcPr>
            <w:tcW w:type="dxa" w:w="265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Consequência</w:t>
            </w:r>
          </w:p>
        </w:tc>
        <w:tc>
          <w:tcPr>
            <w:tcW w:type="dxa" w:w="756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Prosseguir no modo sombra, repetir, restringir o Mandato, passar ao modo degradado, Não delegar ou Interromper.</w:t>
            </w:r>
          </w:p>
        </w:tc>
      </w:tr>
      <w:tr>
        <w:trPr>
          <w:cantSplit/>
        </w:trPr>
        <w:tc>
          <w:tcPr>
            <w:tcW w:type="dxa" w:w="265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Custo</w:t>
            </w:r>
          </w:p>
        </w:tc>
        <w:tc>
          <w:tcPr>
            <w:tcW w:type="dxa" w:w="756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Horas, demoras, treinamento, contestações, dependência, energia e trabalho de saída.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8. Regras de decisão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476"/>
        <w:gridCol w:w="6748"/>
      </w:tblGrid>
      <w:tr>
        <w:trPr>
          <w:tblHeader w:val="true"/>
          <w:cantSplit/>
        </w:trPr>
        <w:tc>
          <w:tcPr>
            <w:tcW w:type="dxa" w:w="34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Situação</w:t>
            </w:r>
          </w:p>
        </w:tc>
        <w:tc>
          <w:tcPr>
            <w:tcW w:type="dxa" w:w="674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Consequência mínima</w:t>
            </w:r>
          </w:p>
        </w:tc>
      </w:tr>
      <w:tr>
        <w:trPr>
          <w:cantSplit/>
        </w:trPr>
        <w:tc>
          <w:tcPr>
            <w:tcW w:type="dxa" w:w="34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A e B concordam, mas compartilham uma dependência não verificada</w:t>
            </w:r>
          </w:p>
        </w:tc>
        <w:tc>
          <w:tcPr>
            <w:tcW w:type="dxa" w:w="674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A evidência permanece Não resolvida; não ampliar o Mandato.</w:t>
            </w:r>
          </w:p>
        </w:tc>
      </w:tr>
      <w:tr>
        <w:trPr>
          <w:cantSplit/>
        </w:trPr>
        <w:tc>
          <w:tcPr>
            <w:tcW w:type="dxa" w:w="34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A e B divergem em um ponto não decisivo, e o motivo pode ser reconstruído</w:t>
            </w:r>
          </w:p>
        </w:tc>
        <w:tc>
          <w:tcPr>
            <w:tcW w:type="dxa" w:w="674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Registrar; manter o perímetro; revisar a biblioteca de casos.</w:t>
            </w:r>
          </w:p>
        </w:tc>
      </w:tr>
      <w:tr>
        <w:trPr>
          <w:cantSplit/>
        </w:trPr>
        <w:tc>
          <w:tcPr>
            <w:tcW w:type="dxa" w:w="34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Uma divergência decisiva pode ser reconstruída dentro da janela de controle</w:t>
            </w:r>
          </w:p>
        </w:tc>
        <w:tc>
          <w:tcPr>
            <w:tcW w:type="dxa" w:w="674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Encaminhar ao revisor competente; o efeito permanece suspenso até o encerramento do caso.</w:t>
            </w:r>
          </w:p>
        </w:tc>
      </w:tr>
      <w:tr>
        <w:trPr>
          <w:cantSplit/>
        </w:trPr>
        <w:tc>
          <w:tcPr>
            <w:tcW w:type="dxa" w:w="34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Uma divergência decisiva não pode ser reconstruída a tempo</w:t>
            </w:r>
          </w:p>
        </w:tc>
        <w:tc>
          <w:tcPr>
            <w:tcW w:type="dxa" w:w="674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Restringir o Mandato ou passar ao modo degradado; se o poder já estiver ativo, Interromper.</w:t>
            </w:r>
          </w:p>
        </w:tc>
      </w:tr>
      <w:tr>
        <w:trPr>
          <w:cantSplit/>
        </w:trPr>
        <w:tc>
          <w:tcPr>
            <w:tcW w:type="dxa" w:w="34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Os dois sistemas falham no mesmo caso</w:t>
            </w:r>
          </w:p>
        </w:tc>
        <w:tc>
          <w:tcPr>
            <w:tcW w:type="dxa" w:w="674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Tratar a concordância como erro correlacionado; corrigir fontes, dados, objetivos ou processo antes de repetir.</w:t>
            </w:r>
          </w:p>
        </w:tc>
      </w:tr>
      <w:tr>
        <w:trPr>
          <w:cantSplit/>
        </w:trPr>
        <w:tc>
          <w:tcPr>
            <w:tcW w:type="dxa" w:w="34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A carga torna nominal a supervisão</w:t>
            </w:r>
          </w:p>
        </w:tc>
        <w:tc>
          <w:tcPr>
            <w:tcW w:type="dxa" w:w="674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Reduzir o volume ou a modalidade; financiar capacidade humana; não acrescentar uma assinatura meramente decorativa.</w:t>
            </w:r>
          </w:p>
        </w:tc>
      </w:tr>
      <w:tr>
        <w:trPr>
          <w:cantSplit/>
        </w:trPr>
        <w:tc>
          <w:tcPr>
            <w:tcW w:type="dxa" w:w="34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A saída não permite reconstruir o serviço</w:t>
            </w:r>
          </w:p>
        </w:tc>
        <w:tc>
          <w:tcPr>
            <w:tcW w:type="dxa" w:w="674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Condição Bloqueante: Não delegar antes do início ou Interromper o uso ativo.</w:t>
            </w:r>
          </w:p>
        </w:tc>
      </w:tr>
    </w:tbl>
    <w:p>
      <w:pPr>
        <w:spacing w:after="0"/>
      </w:pPr>
    </w:p>
    <w:p>
      <w:pPr>
        <w:pStyle w:val="Heading1"/>
      </w:pPr>
      <w:r>
        <w:t>9. Registro de encerramento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RESULTADO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O registro conserva versão, perímetro testado, casos de falha, divergências, horas de supervisão, custos, condições não resolvidas, decisão organizacional, pessoa responsável, condição de interrupção e data de reexame. Um bom resultado não autoriza tarefas, dados ou volumes que não tenham sido testados.</w:t>
            </w:r>
          </w:p>
        </w:tc>
      </w:tr>
    </w:tbl>
    <w:p>
      <w:pPr>
        <w:spacing w:after="0"/>
      </w:pPr>
    </w:p>
    <w:p>
      <w:pPr>
        <w:pStyle w:val="Heading2"/>
      </w:pPr>
      <w:r>
        <w:t>Lista de verificação para o encerramento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601"/>
        <w:gridCol w:w="5623"/>
      </w:tblGrid>
      <w:tr>
        <w:trPr>
          <w:tblHeader w:val="true"/>
          <w:cantSplit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Controle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Resultado e referência</w:t>
            </w:r>
          </w:p>
        </w:tc>
      </w:tr>
      <w:tr>
        <w:trPr>
          <w:cantSplit/>
          <w:trHeight w:val="36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[ ] Versões A e B identificadas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</w:r>
          </w:p>
        </w:tc>
      </w:tr>
      <w:tr>
        <w:trPr>
          <w:cantSplit/>
          <w:trHeight w:val="36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[ ] Dependências comuns documentadas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</w:r>
          </w:p>
        </w:tc>
      </w:tr>
      <w:tr>
        <w:trPr>
          <w:cantSplit/>
          <w:trHeight w:val="36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[ ] Divergências decisivas reconstruídas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</w:r>
          </w:p>
        </w:tc>
      </w:tr>
      <w:tr>
        <w:trPr>
          <w:cantSplit/>
          <w:trHeight w:val="36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[ ] Carga real e janela de controle testadas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</w:r>
          </w:p>
        </w:tc>
      </w:tr>
      <w:tr>
        <w:trPr>
          <w:cantSplit/>
          <w:trHeight w:val="36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[ ] Recurso e autoridade para interromper acessíveis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</w:r>
          </w:p>
        </w:tc>
      </w:tr>
      <w:tr>
        <w:trPr>
          <w:cantSplit/>
          <w:trHeight w:val="36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[ ] Modo degradado e Saída testados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</w:r>
          </w:p>
        </w:tc>
      </w:tr>
      <w:tr>
        <w:trPr>
          <w:cantSplit/>
          <w:trHeight w:val="36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[ ] Custos de supervisão e não adoção registrados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</w:r>
          </w:p>
        </w:tc>
      </w:tr>
      <w:tr>
        <w:trPr>
          <w:cantSplit/>
          <w:trHeight w:val="36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Decisão organizacional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[ ] Prosseguir [ ] Limitar e testar [ ] Não delegar [ ] Interromper</w:t>
            </w:r>
          </w:p>
        </w:tc>
      </w:tr>
      <w:tr>
        <w:trPr>
          <w:cantSplit/>
          <w:trHeight w:val="36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Pessoa responsável, assinatura, data e reexame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footerReference w:type="first" r:id="rId11"/>
      <w:headerReference w:type="even" r:id="rId14"/>
      <w:footerReference w:type="even" r:id="rId15"/>
      <w:pgSz w:w="12240" w:h="15840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LETTER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https://www.corneritaliano.com/pt/2050/recursos/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LETTER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Protocolo avançado de teste com dois sistemas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Protocolo avançado de teste com dois sistemas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pt/2050/recursos/" TargetMode="External"/><Relationship Id="rId14" Type="http://schemas.openxmlformats.org/officeDocument/2006/relationships/header" Target="header2.xml"/><Relationship Id="rId1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avançado de teste com dois sistemas</dc:title>
  <dc:subject>Recurso complementar oficial de 2050</dc:subject>
  <dc:creator>Corner Italiano LLC</dc:creator>
  <cp:keywords>2050, inteligência artificial, Teste 2050, recursos</cp:keywords>
  <dc:description>generated by python-docx</dc:description>
  <cp:lastModifiedBy>Corner Italiano LLC</cp:lastModifiedBy>
  <cp:revision>1</cp:revision>
  <dcterms:created xsi:type="dcterms:W3CDTF">2013-12-23T23:15:00Z</dcterms:created>
  <dcterms:modified xsi:type="dcterms:W3CDTF">2013-12-23T23:15:00Z</dcterms:modified>
  <cp:category/>
</cp:coreProperties>
</file>