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a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OFICIAIS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Caso Davide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Registro completo, saída e reabertura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EXEMPLO COMPLETO DO TESTE 2050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Versão arquivada da edição brasileira - julho de 2026 - Formato A4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https://www.corneritaliano.com/pt/2050/recursos/</w:t>
        </w:r>
      </w:hyperlink>
    </w:p>
    <w:p>
      <w:r>
        <w:br w:type="page"/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COMO LER O CASO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O registro distingue o estado da evidência da decisão organizacional. Mesmo com as sete perguntas documentadas, um produto capaz pode receber Não delegar quando o benefício residual não sustenta supervisão, dependência e saída no contexto concreto.</w:t>
            </w:r>
          </w:p>
        </w:tc>
      </w:tr>
    </w:tbl>
    <w:p>
      <w:pPr>
        <w:spacing w:after="0"/>
      </w:pPr>
    </w:p>
    <w:p>
      <w:pPr>
        <w:pStyle w:val="Heading1"/>
      </w:pPr>
      <w:r>
        <w:t>Cronologia do caso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275"/>
        <w:gridCol w:w="7615"/>
      </w:tblGrid>
      <w:tr>
        <w:trPr>
          <w:tblHeader w:val="true"/>
          <w:cantSplit/>
        </w:trPr>
        <w:tc>
          <w:tcPr>
            <w:tcW w:type="dxa" w:w="227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Momento</w:t>
            </w:r>
          </w:p>
        </w:tc>
        <w:tc>
          <w:tcPr>
            <w:tcW w:type="dxa" w:w="76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Evidência e decisão</w:t>
            </w:r>
          </w:p>
        </w:tc>
      </w:tr>
      <w:tr>
        <w:trPr>
          <w:cantSplit/>
        </w:trPr>
        <w:tc>
          <w:tcPr>
            <w:tcW w:type="dxa" w:w="227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Antes do piloto</w:t>
            </w:r>
          </w:p>
        </w:tc>
        <w:tc>
          <w:tcPr>
            <w:tcW w:type="dxa" w:w="76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O teste de saída falha: os registros são legíveis, mas configurações e permissões não podem ser reconstruídas. O piloto não começa.</w:t>
            </w:r>
          </w:p>
        </w:tc>
      </w:tr>
      <w:tr>
        <w:trPr>
          <w:cantSplit/>
        </w:trPr>
        <w:tc>
          <w:tcPr>
            <w:tcW w:type="dxa" w:w="227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Segundo teste de saída</w:t>
            </w:r>
          </w:p>
        </w:tc>
        <w:tc>
          <w:tcPr>
            <w:tcW w:type="dxa" w:w="76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A equipe reabre um dossiê em um ambiente separado, reatribui permissões e continua sem o serviço principal.</w:t>
            </w:r>
          </w:p>
        </w:tc>
      </w:tr>
      <w:tr>
        <w:trPr>
          <w:cantSplit/>
        </w:trPr>
        <w:tc>
          <w:tcPr>
            <w:tcW w:type="dxa" w:w="227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Início</w:t>
            </w:r>
          </w:p>
        </w:tc>
        <w:tc>
          <w:tcPr>
            <w:tcW w:type="dxa" w:w="76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Decisão: Limitar e testar por noventa dias, primeiro no modo sombra e depois somente na modalidade Propõe; sem execução autônoma.</w:t>
            </w:r>
          </w:p>
        </w:tc>
      </w:tr>
      <w:tr>
        <w:trPr>
          <w:cantSplit/>
        </w:trPr>
        <w:tc>
          <w:tcPr>
            <w:tcW w:type="dxa" w:w="227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Durante o piloto</w:t>
            </w:r>
          </w:p>
        </w:tc>
        <w:tc>
          <w:tcPr>
            <w:tcW w:type="dxa" w:w="76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O sistema encontra precedentes úteis. Um erro plausível reutiliza uma cláusula sem a limitação acordada. Nenhum contrato é enviado.</w:t>
            </w:r>
          </w:p>
        </w:tc>
      </w:tr>
      <w:tr>
        <w:trPr>
          <w:cantSplit/>
        </w:trPr>
        <w:tc>
          <w:tcPr>
            <w:tcW w:type="dxa" w:w="227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15 de outubro de 2050</w:t>
            </w:r>
          </w:p>
        </w:tc>
        <w:tc>
          <w:tcPr>
            <w:tcW w:type="dxa" w:w="76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Depois de descontar supervisão, treinamento, aprendizagem e saída, o benefício líquido permanece modesto e irregular. Decisão: Não delegar.</w:t>
            </w:r>
          </w:p>
        </w:tc>
      </w:tr>
      <w:tr>
        <w:trPr>
          <w:cantSplit/>
        </w:trPr>
        <w:tc>
          <w:tcPr>
            <w:tcW w:type="dxa" w:w="227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16 de outubro de 2050</w:t>
            </w:r>
          </w:p>
        </w:tc>
        <w:tc>
          <w:tcPr>
            <w:tcW w:type="dxa" w:w="76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O registro inclui também o custo do não: propostas na fila, horas não faturáveis, saldo devido ao fornecedor e um cliente perdido.</w:t>
            </w:r>
          </w:p>
        </w:tc>
      </w:tr>
      <w:tr>
        <w:trPr>
          <w:cantSplit/>
        </w:trPr>
        <w:tc>
          <w:tcPr>
            <w:tcW w:type="dxa" w:w="227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Encerramento</w:t>
            </w:r>
          </w:p>
        </w:tc>
        <w:tc>
          <w:tcPr>
            <w:tcW w:type="dxa" w:w="76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Exportação final, revogação de acessos e reabertura aleatória de um dossiê sem assistência do fornecedor.</w:t>
            </w:r>
          </w:p>
        </w:tc>
      </w:tr>
      <w:tr>
        <w:trPr>
          <w:cantSplit/>
        </w:trPr>
        <w:tc>
          <w:tcPr>
            <w:tcW w:type="dxa" w:w="227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15 de abril de 2051</w:t>
            </w:r>
          </w:p>
        </w:tc>
        <w:tc>
          <w:tcPr>
            <w:tcW w:type="dxa" w:w="76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Reabertura para uma proposta mais restrita: apenas pesquisa de precedentes, casos encerrados, modo sombra, nenhum efeito externo e possibilidade permanente de voltar a responder não.</w:t>
            </w:r>
          </w:p>
        </w:tc>
      </w:tr>
    </w:tbl>
    <w:p>
      <w:pPr>
        <w:spacing w:after="0"/>
      </w:pPr>
    </w:p>
    <w:p>
      <w:pPr>
        <w:pStyle w:val="Heading1"/>
      </w:pPr>
      <w:r>
        <w:t>Registro em 15 de outubro de 2050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769"/>
        <w:gridCol w:w="7121"/>
      </w:tblGrid>
      <w:tr>
        <w:trPr>
          <w:tblHeader w:val="true"/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Campo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Registro em 15 de outubro de 2050</w:t>
            </w:r>
          </w:p>
        </w:tc>
      </w:tr>
      <w:tr>
        <w:trPr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Sistema e decisão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Gêmeo operacional para o trabalho contratual. Decidir sobre uma possível adoção após um piloto de noventa dias, primeiro no modo sombra e depois, se a evidência se sustentar, na modalidade Propõe.</w:t>
            </w:r>
          </w:p>
        </w:tc>
      </w:tr>
      <w:tr>
        <w:trPr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Contexto e pessoas expostas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A pequena empresa de Davide; a responsável pelos contratos; uma colega mais jovem em formação; o diretor comercial; clientes e contrapartes vinculados pelas propostas.</w:t>
            </w:r>
          </w:p>
        </w:tc>
      </w:tr>
      <w:tr>
        <w:trPr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Finalidade - Suficiente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Reduzir o trabalho acumulado e o tempo de preparação sem aumentar exceções não detectadas, correções tardias ou compromissos não compreendidos. A alternativa organizacional é avaliada diante da mesma necessidade.</w:t>
            </w:r>
          </w:p>
        </w:tc>
      </w:tr>
      <w:tr>
        <w:trPr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Mandato - Suficiente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O gêmeo compara precedentes, sinaliza desvios e formula alternativas. Não usa Decide nem Executa: não envia nem assina; escalas, preços, pessoal e compromissos contratuais ficam excluídos. Cada supervisor acompanha no máximo doze processos abertos, limiar do cenário que deve ser reexaminado sob carga real.</w:t>
            </w:r>
          </w:p>
        </w:tc>
      </w:tr>
      <w:tr>
        <w:trPr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Evidência - Suficiente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Casos encerrados com exceções de alto custo, uso no modo sombra, passagem posterior à modalidade Propõe, incidente simulado e carga real. O sistema encontra muitos precedentes úteis e comete um erro plausível no ponto decisivo; o benefício é real, modesto e irregular.</w:t>
            </w:r>
          </w:p>
        </w:tc>
      </w:tr>
      <w:tr>
        <w:trPr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Distribuição - Suficiente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A economia bruta é separada das horas de especialistas, do treinamento, da aprendizagem, das demoras para clientes e do trabalho de saída. A colega mais jovem recebe tempo protegido para reconstruir os dossiês.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Registro em 15 de outubro de 2050 - continuação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769"/>
        <w:gridCol w:w="7121"/>
      </w:tblGrid>
      <w:tr>
        <w:trPr>
          <w:tblHeader w:val="true"/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Campo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Registro em 15 de outubro de 2050</w:t>
            </w:r>
          </w:p>
        </w:tc>
      </w:tr>
      <w:tr>
        <w:trPr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Dano - Suficiente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Falha plausível: uma cláusula omite uma limitação ou transfere risco antes que a fonte e a exceção sejam compreendidas. A assinatura cria uma janela de controle; não torna o dano insignificante.</w:t>
            </w:r>
          </w:p>
        </w:tc>
      </w:tr>
      <w:tr>
        <w:trPr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Recurso - Suficiente durante o piloto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Nenhum efeito externo é automático. A responsável pelos contratos pode reabrir, modificar, bloquear e suspender; as intervenções ficam registradas. A divergência do diretor comercial é preservada, mas não substitui o Recurso da contraparte.</w:t>
            </w:r>
          </w:p>
        </w:tc>
      </w:tr>
      <w:tr>
        <w:trPr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Saída - Bloqueante, depois Suficiente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A primeira exportação não permite reconstruir configurações e permissões; por isso, o piloto não começa. No segundo teste, a equipe reabre um dossiê em ambiente separado e continua sem o serviço principal. No encerramento, exporta registros e configurações, reabre um dossiê aleatório sem ajuda do fornecedor e revoga os acessos.</w:t>
            </w:r>
          </w:p>
        </w:tc>
      </w:tr>
      <w:tr>
        <w:trPr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Decisão provisória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Limitar e testar: noventa dias, primeiro no modo sombra e depois na modalidade Propõe; sem execução autônoma; supervisão, controle e aprendizagem são descontados do benefício.</w:t>
            </w:r>
          </w:p>
        </w:tc>
      </w:tr>
      <w:tr>
        <w:trPr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Monitoramento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A equipe registra redução dos prazos, exceções, intervenções, horas de especialistas e reconstrução da origem. O sistema continua tecnicamente capaz; quando a supervisão é realmente exercida, a vantagem líquida não sustenta esse processo e esse volume.</w:t>
            </w:r>
          </w:p>
        </w:tc>
      </w:tr>
      <w:tr>
        <w:trPr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Decisão final - 15 de outubro de 2050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Não delegar. Não renovar nem mesmo a modalidade Propõe; iniciar a saída e manter uma alternativa. Davide assina e assume uma decisão que renuncia a um benefício real.</w:t>
            </w:r>
          </w:p>
        </w:tc>
      </w:tr>
      <w:tr>
        <w:trPr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Alternativa mantida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Conjunto de cláusulas aprovadas, exceções identificadas desde o início, participação antecipada da pessoa especialista e horas protegidas para reconstruir os casos.</w:t>
            </w:r>
          </w:p>
        </w:tc>
      </w:tr>
      <w:tr>
        <w:trPr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Custo do não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Propostas na fila, horas não faturáveis, saldo devido ao fornecedor, margem menor e um cliente perdido. A empresa mantém dossiês legíveis e uma competência mais bem distribuída.</w:t>
            </w:r>
          </w:p>
        </w:tc>
      </w:tr>
      <w:tr>
        <w:trPr>
          <w:cantSplit/>
        </w:trPr>
        <w:tc>
          <w:tcPr>
            <w:tcW w:type="dxa" w:w="276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5"/>
              </w:rPr>
              <w:t>Responsável e reexame</w:t>
            </w:r>
          </w:p>
        </w:tc>
        <w:tc>
          <w:tcPr>
            <w:tcW w:type="dxa" w:w="7121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5"/>
              </w:rPr>
              <w:t>Davide. Registro de encerramento datado de 16 de outubro de 2050; reexame previsto para 15 de abril de 2051.</w:t>
            </w:r>
          </w:p>
        </w:tc>
      </w:tr>
    </w:tbl>
    <w:p>
      <w:pPr>
        <w:spacing w:after="0"/>
      </w:pPr>
    </w:p>
    <w:p>
      <w:pPr>
        <w:pStyle w:val="Heading1"/>
      </w:pPr>
      <w:r>
        <w:t>Reabertura: 15 de abril de 2051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Seis meses depois, o não é reexaminado sem ser apagado. A proposta é nova e mais restrita; o teste permanece separado da compra e conserva a possibilidade concreta de voltar a responder não.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670"/>
        <w:gridCol w:w="7220"/>
      </w:tblGrid>
      <w:tr>
        <w:trPr>
          <w:tblHeader w:val="true"/>
          <w:cantSplit/>
        </w:trPr>
        <w:tc>
          <w:tcPr>
            <w:tcW w:type="dxa" w:w="26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Campo</w:t>
            </w:r>
          </w:p>
        </w:tc>
        <w:tc>
          <w:tcPr>
            <w:tcW w:type="dxa" w:w="72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Reabertura em 15 de abril de 2051</w:t>
            </w:r>
          </w:p>
        </w:tc>
      </w:tr>
      <w:tr>
        <w:trPr>
          <w:cantSplit/>
        </w:trPr>
        <w:tc>
          <w:tcPr>
            <w:tcW w:type="dxa" w:w="26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Nova proposta</w:t>
            </w:r>
          </w:p>
        </w:tc>
        <w:tc>
          <w:tcPr>
            <w:tcW w:type="dxa" w:w="72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Pesquisar precedentes sem gerar propostas comerciais, com menor custo e sem acesso a dossiês abertos.</w:t>
            </w:r>
          </w:p>
        </w:tc>
      </w:tr>
      <w:tr>
        <w:trPr>
          <w:cantSplit/>
        </w:trPr>
        <w:tc>
          <w:tcPr>
            <w:tcW w:type="dxa" w:w="26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Perímetro do teste</w:t>
            </w:r>
          </w:p>
        </w:tc>
        <w:tc>
          <w:tcPr>
            <w:tcW w:type="dxa" w:w="72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Novo teste no modo sombra com casos encerrados; nenhuma compra ou efeito externo é autorizado.</w:t>
            </w:r>
          </w:p>
        </w:tc>
      </w:tr>
      <w:tr>
        <w:trPr>
          <w:cantSplit/>
        </w:trPr>
        <w:tc>
          <w:tcPr>
            <w:tcW w:type="dxa" w:w="26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Evidências e custos</w:t>
            </w:r>
          </w:p>
        </w:tc>
        <w:tc>
          <w:tcPr>
            <w:tcW w:type="dxa" w:w="72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Tempo de espera, correções tardias, margem, horas de especialistas, supervisão, treinamento e aprendizagem permanecem registrados na mesma conta.</w:t>
            </w:r>
          </w:p>
        </w:tc>
      </w:tr>
      <w:tr>
        <w:trPr>
          <w:cantSplit/>
        </w:trPr>
        <w:tc>
          <w:tcPr>
            <w:tcW w:type="dxa" w:w="26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Limiar e interrupção</w:t>
            </w:r>
          </w:p>
        </w:tc>
        <w:tc>
          <w:tcPr>
            <w:tcW w:type="dxa" w:w="72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O critério de sucesso, a pessoa responsável e a autoridade para interromper são fixados antes do início; o teste pode ser encerrado sem comprar o sistema.</w:t>
            </w:r>
          </w:p>
        </w:tc>
      </w:tr>
      <w:tr>
        <w:trPr>
          <w:cantSplit/>
        </w:trPr>
        <w:tc>
          <w:tcPr>
            <w:tcW w:type="dxa" w:w="267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Decisão</w:t>
            </w:r>
          </w:p>
        </w:tc>
        <w:tc>
          <w:tcPr>
            <w:tcW w:type="dxa" w:w="722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Reabrir a comparação não revoga o primeiro não. Ao final, continuam disponíveis Não delegar e a possibilidade concreta de voltar a responder não.</w:t>
            </w:r>
          </w:p>
        </w:tc>
      </w:tr>
    </w:tbl>
    <w:p>
      <w:pPr>
        <w:spacing w:after="0"/>
      </w:pPr>
    </w:p>
    <w:p>
      <w:pPr>
        <w:pStyle w:val="Heading1"/>
      </w:pPr>
      <w:r>
        <w:t>Critério transferível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O SENTIDO DO CASO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Não delegar não significa declarar o produto inútil. Significa recusar esse poder, nesse processo e nesse momento, quando o benefício residual não sustenta supervisão, dependência e saída e quando existe uma alternativa organizacional melhor. O não continua fundamentado, custoso e passível de reabertura.</w:t>
            </w:r>
          </w:p>
        </w:tc>
      </w:tr>
    </w:tbl>
    <w:p>
      <w:pPr>
        <w:spacing w:after="0"/>
      </w:pPr>
    </w:p>
    <w:p>
      <w:pPr>
        <w:pStyle w:val="Heading2"/>
      </w:pPr>
      <w:r>
        <w:t>Perguntas para transferir o caso</w:t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846"/>
        <w:gridCol w:w="5044"/>
      </w:tblGrid>
      <w:tr>
        <w:trPr>
          <w:tblHeader w:val="true"/>
          <w:cantSplit/>
        </w:trPr>
        <w:tc>
          <w:tcPr>
            <w:tcW w:type="dxa" w:w="484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Pergunta</w:t>
            </w:r>
          </w:p>
        </w:tc>
        <w:tc>
          <w:tcPr>
            <w:tcW w:type="dxa" w:w="50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Evidência a procurar em seu contexto</w:t>
            </w:r>
          </w:p>
        </w:tc>
      </w:tr>
      <w:tr>
        <w:trPr>
          <w:cantSplit/>
          <w:trHeight w:val="520" w:hRule="atLeast"/>
        </w:trPr>
        <w:tc>
          <w:tcPr>
            <w:tcW w:type="dxa" w:w="484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O critério de sucesso mede a necessidade ou apenas o volume produzido?</w:t>
            </w:r>
          </w:p>
        </w:tc>
        <w:tc>
          <w:tcPr>
            <w:tcW w:type="dxa" w:w="50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84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 poder deve permanecer na modalidade Auxilia ou Propõe?</w:t>
            </w:r>
          </w:p>
        </w:tc>
        <w:tc>
          <w:tcPr>
            <w:tcW w:type="dxa" w:w="50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84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Quem paga a supervisão, o treinamento, a espera e a saída?</w:t>
            </w:r>
          </w:p>
        </w:tc>
        <w:tc>
          <w:tcPr>
            <w:tcW w:type="dxa" w:w="50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84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 erro plausível parece elegante e convincente, mas está errado no ponto decisivo?</w:t>
            </w:r>
          </w:p>
        </w:tc>
        <w:tc>
          <w:tcPr>
            <w:tcW w:type="dxa" w:w="50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84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O teste de saída permite reconstruir também configurações e permissões?</w:t>
            </w:r>
          </w:p>
        </w:tc>
        <w:tc>
          <w:tcPr>
            <w:tcW w:type="dxa" w:w="50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84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 alternativa organizacional responde à mesma necessidade?</w:t>
            </w:r>
          </w:p>
        </w:tc>
        <w:tc>
          <w:tcPr>
            <w:tcW w:type="dxa" w:w="50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520" w:hRule="atLeast"/>
        </w:trPr>
        <w:tc>
          <w:tcPr>
            <w:tcW w:type="dxa" w:w="484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Qual mudança justificaria reabrir sem apagar o primeiro não?</w:t>
            </w:r>
          </w:p>
        </w:tc>
        <w:tc>
          <w:tcPr>
            <w:tcW w:type="dxa" w:w="504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4"/>
      <w:footerReference w:type="even" r:id="rId15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A4 -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https://www.corneritaliano.com/pt/2050/recursos/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A4 -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Caso Davide - Registro completo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Caso Davide - Registro completo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pt/2050/recursos/" TargetMode="External"/><Relationship Id="rId14" Type="http://schemas.openxmlformats.org/officeDocument/2006/relationships/header" Target="head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Caso Davide - Registro completo</dc:title>
  <dc:subject>Recurso complementar oficial de 2050</dc:subject>
  <dc:creator>Corner Italiano LLC</dc:creator>
  <cp:keywords>2050, inteligência artificial, Teste 2050, recursos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