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40"/>
        <w:jc w:val="center"/>
      </w:pPr>
      <w:r>
        <w:drawing>
          <wp:inline xmlns:a="http://schemas.openxmlformats.org/drawingml/2006/main" xmlns:pic="http://schemas.openxmlformats.org/drawingml/2006/picture">
            <wp:extent cx="1508760" cy="1005840"/>
            <wp:docPr id="1" name="Picture 1" descr="Logotipo editorial da Corner Italiano" title="Corner Italiano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rner-italiano-logo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08760" cy="10058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520" w:after="160"/>
        <w:jc w:val="center"/>
      </w:pPr>
      <w:r>
        <w:rPr>
          <w:rFonts w:ascii="DejaVu Sans" w:hAnsi="DejaVu Sans" w:eastAsia="DejaVu Sans"/>
          <w:b/>
          <w:color w:val="B54B2A"/>
          <w:sz w:val="17"/>
        </w:rPr>
        <w:t>CORNER ITALIANO  |  RECURSOS OFICIAIS</w:t>
      </w:r>
    </w:p>
    <w:p>
      <w:pPr>
        <w:pStyle w:val="Title"/>
        <w:jc w:val="center"/>
      </w:pPr>
      <w:r>
        <w:rPr>
          <w:rFonts w:ascii="DejaVu Sans" w:hAnsi="DejaVu Sans" w:eastAsia="DejaVu Sans"/>
          <w:b/>
          <w:color w:val="123044"/>
          <w:sz w:val="56"/>
        </w:rPr>
        <w:t>Caso Davide</w:t>
      </w:r>
    </w:p>
    <w:p>
      <w:pPr>
        <w:pStyle w:val="Subtitle"/>
        <w:jc w:val="center"/>
      </w:pPr>
      <w:r>
        <w:rPr>
          <w:rFonts w:ascii="DejaVu Sans" w:hAnsi="DejaVu Sans" w:eastAsia="DejaVu Sans"/>
          <w:color w:val="5D6870"/>
          <w:sz w:val="25"/>
        </w:rPr>
        <w:t>Registro completo, saída e reabertura</w:t>
      </w:r>
    </w:p>
    <w:p>
      <w:pPr>
        <w:spacing w:before="440"/>
        <w:jc w:val="center"/>
      </w:pPr>
      <w:r>
        <w:rPr>
          <w:rFonts w:ascii="DejaVu Sans" w:hAnsi="DejaVu Sans" w:eastAsia="DejaVu Sans"/>
          <w:b/>
          <w:color w:val="B54B2A"/>
          <w:sz w:val="17"/>
        </w:rPr>
        <w:t>EXEMPLO COMPLETO DO TESTE 2050</w:t>
      </w:r>
    </w:p>
    <w:p>
      <w:pPr>
        <w:jc w:val="center"/>
      </w:pPr>
      <w:r>
        <w:rPr>
          <w:rFonts w:ascii="DejaVu Sans" w:hAnsi="DejaVu Sans" w:eastAsia="DejaVu Sans"/>
          <w:color w:val="234C61"/>
          <w:sz w:val="19"/>
        </w:rPr>
        <w:t>Versão arquivada da edição brasileira - julho de 2026 - Formato US Letter (8,5 x 11 pol.)</w:t>
      </w:r>
    </w:p>
    <w:p>
      <w:pPr>
        <w:spacing w:before="360"/>
        <w:jc w:val="center"/>
      </w:pPr>
      <w:hyperlink r:id="rId13">
        <w:r>
          <w:rPr>
            <w:rFonts w:ascii="DejaVu Sans" w:hAnsi="DejaVu Sans" w:eastAsia="DejaVu Sans"/>
            <w:color w:val="234C61"/>
            <w:u w:val="single"/>
            <w:sz w:val="18"/>
          </w:rPr>
          <w:t>https://www.corneritaliano.com/pt/2050/recursos/</w:t>
        </w:r>
      </w:hyperlink>
    </w:p>
    <w:p>
      <w:r>
        <w:br w:type="page"/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50" w:type="dxa"/>
        <w:tblBorders>
          <w:top w:val="single" w:sz="7" w:space="0" w:color="B54B2A"/>
          <w:left w:val="single" w:sz="7" w:space="0" w:color="B54B2A"/>
          <w:bottom w:val="single" w:sz="7" w:space="0" w:color="B54B2A"/>
          <w:right w:val="single" w:sz="7" w:space="0" w:color="B54B2A"/>
          <w:insideH w:val="single" w:sz="7" w:space="0" w:color="B54B2A"/>
          <w:insideV w:val="single" w:sz="7" w:space="0" w:color="B54B2A"/>
        </w:tblBorders>
      </w:tblPr>
      <w:tblGrid>
        <w:gridCol w:w="10224"/>
      </w:tblGrid>
      <w:tr>
        <w:trPr>
          <w:cantSplit/>
        </w:trPr>
        <w:tc>
          <w:tcPr>
            <w:tcW w:type="dxa" w:w="10224"/>
            <w:shd w:fill="F7E7E0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40"/>
            </w:pPr>
            <w:r>
              <w:rPr>
                <w:rFonts w:ascii="DejaVu Sans" w:hAnsi="DejaVu Sans" w:eastAsia="DejaVu Sans"/>
                <w:b/>
                <w:color w:val="B54B2A"/>
                <w:sz w:val="17"/>
              </w:rPr>
              <w:t xml:space="preserve">COMO LER O CASO  </w:t>
            </w:r>
            <w:r>
              <w:rPr>
                <w:rFonts w:ascii="DejaVu Sans" w:hAnsi="DejaVu Sans" w:eastAsia="DejaVu Sans"/>
                <w:color w:val="1E2528"/>
                <w:sz w:val="18"/>
              </w:rPr>
              <w:t>O registro distingue o estado da evidência da decisão organizacional. Mesmo com as sete perguntas documentadas, um produto capaz pode receber Não delegar quando o benefício residual não sustenta supervisão, dependência e saída no contexto concreto.</w:t>
            </w:r>
          </w:p>
        </w:tc>
      </w:tr>
    </w:tbl>
    <w:p>
      <w:pPr>
        <w:spacing w:after="0"/>
      </w:pPr>
    </w:p>
    <w:p>
      <w:pPr>
        <w:pStyle w:val="Heading1"/>
      </w:pPr>
      <w:r>
        <w:t>Cronologia do caso</w:t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2352"/>
        <w:gridCol w:w="7872"/>
      </w:tblGrid>
      <w:tr>
        <w:trPr>
          <w:tblHeader w:val="true"/>
          <w:cantSplit/>
        </w:trPr>
        <w:tc>
          <w:tcPr>
            <w:tcW w:type="dxa" w:w="235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23044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Momento</w:t>
            </w:r>
          </w:p>
        </w:tc>
        <w:tc>
          <w:tcPr>
            <w:tcW w:type="dxa" w:w="787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23044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Evidência e decisão</w:t>
            </w:r>
          </w:p>
        </w:tc>
      </w:tr>
      <w:tr>
        <w:trPr>
          <w:cantSplit/>
        </w:trPr>
        <w:tc>
          <w:tcPr>
            <w:tcW w:type="dxa" w:w="235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Antes do piloto</w:t>
            </w:r>
          </w:p>
        </w:tc>
        <w:tc>
          <w:tcPr>
            <w:tcW w:type="dxa" w:w="787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O teste de saída falha: os registros são legíveis, mas configurações e permissões não podem ser reconstruídas. O piloto não começa.</w:t>
            </w:r>
          </w:p>
        </w:tc>
      </w:tr>
      <w:tr>
        <w:trPr>
          <w:cantSplit/>
        </w:trPr>
        <w:tc>
          <w:tcPr>
            <w:tcW w:type="dxa" w:w="235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Segundo teste de saída</w:t>
            </w:r>
          </w:p>
        </w:tc>
        <w:tc>
          <w:tcPr>
            <w:tcW w:type="dxa" w:w="787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A equipe reabre um dossiê em um ambiente separado, reatribui permissões e continua sem o serviço principal.</w:t>
            </w:r>
          </w:p>
        </w:tc>
      </w:tr>
      <w:tr>
        <w:trPr>
          <w:cantSplit/>
        </w:trPr>
        <w:tc>
          <w:tcPr>
            <w:tcW w:type="dxa" w:w="235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Início</w:t>
            </w:r>
          </w:p>
        </w:tc>
        <w:tc>
          <w:tcPr>
            <w:tcW w:type="dxa" w:w="787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Decisão: Limitar e testar por noventa dias, primeiro no modo sombra e depois somente na modalidade Propõe; sem execução autônoma.</w:t>
            </w:r>
          </w:p>
        </w:tc>
      </w:tr>
      <w:tr>
        <w:trPr>
          <w:cantSplit/>
        </w:trPr>
        <w:tc>
          <w:tcPr>
            <w:tcW w:type="dxa" w:w="235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Durante o piloto</w:t>
            </w:r>
          </w:p>
        </w:tc>
        <w:tc>
          <w:tcPr>
            <w:tcW w:type="dxa" w:w="787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O sistema encontra precedentes úteis. Um erro plausível reutiliza uma cláusula sem a limitação acordada. Nenhum contrato é enviado.</w:t>
            </w:r>
          </w:p>
        </w:tc>
      </w:tr>
      <w:tr>
        <w:trPr>
          <w:cantSplit/>
        </w:trPr>
        <w:tc>
          <w:tcPr>
            <w:tcW w:type="dxa" w:w="235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15 de outubro de 2050</w:t>
            </w:r>
          </w:p>
        </w:tc>
        <w:tc>
          <w:tcPr>
            <w:tcW w:type="dxa" w:w="787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Depois de descontar supervisão, treinamento, aprendizagem e saída, o benefício líquido permanece modesto e irregular. Decisão: Não delegar.</w:t>
            </w:r>
          </w:p>
        </w:tc>
      </w:tr>
      <w:tr>
        <w:trPr>
          <w:cantSplit/>
        </w:trPr>
        <w:tc>
          <w:tcPr>
            <w:tcW w:type="dxa" w:w="235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16 de outubro de 2050</w:t>
            </w:r>
          </w:p>
        </w:tc>
        <w:tc>
          <w:tcPr>
            <w:tcW w:type="dxa" w:w="787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O registro inclui também o custo do não: propostas na fila, horas não faturáveis, saldo devido ao fornecedor e um cliente perdido.</w:t>
            </w:r>
          </w:p>
        </w:tc>
      </w:tr>
      <w:tr>
        <w:trPr>
          <w:cantSplit/>
        </w:trPr>
        <w:tc>
          <w:tcPr>
            <w:tcW w:type="dxa" w:w="235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Encerramento</w:t>
            </w:r>
          </w:p>
        </w:tc>
        <w:tc>
          <w:tcPr>
            <w:tcW w:type="dxa" w:w="787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Exportação final, revogação de acessos e reabertura aleatória de um dossiê sem assistência do fornecedor.</w:t>
            </w:r>
          </w:p>
        </w:tc>
      </w:tr>
      <w:tr>
        <w:trPr>
          <w:cantSplit/>
        </w:trPr>
        <w:tc>
          <w:tcPr>
            <w:tcW w:type="dxa" w:w="235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15 de abril de 2051</w:t>
            </w:r>
          </w:p>
        </w:tc>
        <w:tc>
          <w:tcPr>
            <w:tcW w:type="dxa" w:w="787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Reabertura para uma proposta mais restrita: apenas pesquisa de precedentes, casos encerrados, modo sombra, nenhum efeito externo e possibilidade permanente de voltar a responder não.</w:t>
            </w:r>
          </w:p>
        </w:tc>
      </w:tr>
    </w:tbl>
    <w:p>
      <w:pPr>
        <w:spacing w:after="0"/>
      </w:pPr>
    </w:p>
    <w:p>
      <w:pPr>
        <w:pStyle w:val="Heading1"/>
      </w:pPr>
      <w:r>
        <w:t>Registro em 15 de outubro de 2050</w:t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2863"/>
        <w:gridCol w:w="7361"/>
      </w:tblGrid>
      <w:tr>
        <w:trPr>
          <w:tblHeader w:val="true"/>
          <w:cantSplit/>
        </w:trPr>
        <w:tc>
          <w:tcPr>
            <w:tcW w:type="dxa" w:w="286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Campo</w:t>
            </w:r>
          </w:p>
        </w:tc>
        <w:tc>
          <w:tcPr>
            <w:tcW w:type="dxa" w:w="736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Registro em 15 de outubro de 2050</w:t>
            </w:r>
          </w:p>
        </w:tc>
      </w:tr>
      <w:tr>
        <w:trPr>
          <w:cantSplit/>
        </w:trPr>
        <w:tc>
          <w:tcPr>
            <w:tcW w:type="dxa" w:w="286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5"/>
              </w:rPr>
              <w:t>Sistema e decisão</w:t>
            </w:r>
          </w:p>
        </w:tc>
        <w:tc>
          <w:tcPr>
            <w:tcW w:type="dxa" w:w="736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5"/>
              </w:rPr>
              <w:t>Gêmeo operacional para o trabalho contratual. Decidir sobre uma possível adoção após um piloto de noventa dias, primeiro no modo sombra e depois, se a evidência se sustentar, na modalidade Propõe.</w:t>
            </w:r>
          </w:p>
        </w:tc>
      </w:tr>
      <w:tr>
        <w:trPr>
          <w:cantSplit/>
        </w:trPr>
        <w:tc>
          <w:tcPr>
            <w:tcW w:type="dxa" w:w="286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5"/>
              </w:rPr>
              <w:t>Contexto e pessoas expostas</w:t>
            </w:r>
          </w:p>
        </w:tc>
        <w:tc>
          <w:tcPr>
            <w:tcW w:type="dxa" w:w="736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5"/>
              </w:rPr>
              <w:t>A pequena empresa de Davide; a responsável pelos contratos; uma colega mais jovem em formação; o diretor comercial; clientes e contrapartes vinculados pelas propostas.</w:t>
            </w:r>
          </w:p>
        </w:tc>
      </w:tr>
      <w:tr>
        <w:trPr>
          <w:cantSplit/>
        </w:trPr>
        <w:tc>
          <w:tcPr>
            <w:tcW w:type="dxa" w:w="286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5"/>
              </w:rPr>
              <w:t>Finalidade - Suficiente</w:t>
            </w:r>
          </w:p>
        </w:tc>
        <w:tc>
          <w:tcPr>
            <w:tcW w:type="dxa" w:w="736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5"/>
              </w:rPr>
              <w:t>Reduzir o trabalho acumulado e o tempo de preparação sem aumentar exceções não detectadas, correções tardias ou compromissos não compreendidos. A alternativa organizacional é avaliada diante da mesma necessidade.</w:t>
            </w:r>
          </w:p>
        </w:tc>
      </w:tr>
      <w:tr>
        <w:trPr>
          <w:cantSplit/>
        </w:trPr>
        <w:tc>
          <w:tcPr>
            <w:tcW w:type="dxa" w:w="286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5"/>
              </w:rPr>
              <w:t>Mandato - Suficiente</w:t>
            </w:r>
          </w:p>
        </w:tc>
        <w:tc>
          <w:tcPr>
            <w:tcW w:type="dxa" w:w="736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5"/>
              </w:rPr>
              <w:t>O gêmeo compara precedentes, sinaliza desvios e formula alternativas. Não usa Decide nem Executa: não envia nem assina; escalas, preços, pessoal e compromissos contratuais ficam excluídos. Cada supervisor acompanha no máximo doze processos abertos, limiar do cenário que deve ser reexaminado sob carga real.</w:t>
            </w:r>
          </w:p>
        </w:tc>
      </w:tr>
      <w:tr>
        <w:trPr>
          <w:cantSplit/>
        </w:trPr>
        <w:tc>
          <w:tcPr>
            <w:tcW w:type="dxa" w:w="286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5"/>
              </w:rPr>
              <w:t>Evidência - Suficiente</w:t>
            </w:r>
          </w:p>
        </w:tc>
        <w:tc>
          <w:tcPr>
            <w:tcW w:type="dxa" w:w="736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5"/>
              </w:rPr>
              <w:t>Casos encerrados com exceções de alto custo, uso no modo sombra, passagem posterior à modalidade Propõe, incidente simulado e carga real. O sistema encontra muitos precedentes úteis e comete um erro plausível no ponto decisivo; o benefício é real, modesto e irregular.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</w:pPr>
      <w:r>
        <w:t>Registro em 15 de outubro de 2050 - continuação</w:t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2863"/>
        <w:gridCol w:w="7361"/>
      </w:tblGrid>
      <w:tr>
        <w:trPr>
          <w:tblHeader w:val="true"/>
          <w:cantSplit/>
        </w:trPr>
        <w:tc>
          <w:tcPr>
            <w:tcW w:type="dxa" w:w="286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Campo</w:t>
            </w:r>
          </w:p>
        </w:tc>
        <w:tc>
          <w:tcPr>
            <w:tcW w:type="dxa" w:w="736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Registro em 15 de outubro de 2050</w:t>
            </w:r>
          </w:p>
        </w:tc>
      </w:tr>
      <w:tr>
        <w:trPr>
          <w:cantSplit/>
        </w:trPr>
        <w:tc>
          <w:tcPr>
            <w:tcW w:type="dxa" w:w="286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5"/>
              </w:rPr>
              <w:t>Distribuição - Suficiente</w:t>
            </w:r>
          </w:p>
        </w:tc>
        <w:tc>
          <w:tcPr>
            <w:tcW w:type="dxa" w:w="736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5"/>
              </w:rPr>
              <w:t>A economia bruta é separada das horas de especialistas, do treinamento, da aprendizagem, das demoras para clientes e do trabalho de saída. A colega mais jovem recebe tempo protegido para reconstruir os dossiês.</w:t>
            </w:r>
          </w:p>
        </w:tc>
      </w:tr>
      <w:tr>
        <w:trPr>
          <w:cantSplit/>
        </w:trPr>
        <w:tc>
          <w:tcPr>
            <w:tcW w:type="dxa" w:w="286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5"/>
              </w:rPr>
              <w:t>Dano - Suficiente</w:t>
            </w:r>
          </w:p>
        </w:tc>
        <w:tc>
          <w:tcPr>
            <w:tcW w:type="dxa" w:w="736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5"/>
              </w:rPr>
              <w:t>Falha plausível: uma cláusula omite uma limitação ou transfere risco antes que a fonte e a exceção sejam compreendidas. A assinatura cria uma janela de controle; não torna o dano insignificante.</w:t>
            </w:r>
          </w:p>
        </w:tc>
      </w:tr>
      <w:tr>
        <w:trPr>
          <w:cantSplit/>
        </w:trPr>
        <w:tc>
          <w:tcPr>
            <w:tcW w:type="dxa" w:w="286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5"/>
              </w:rPr>
              <w:t>Recurso - Suficiente durante o piloto</w:t>
            </w:r>
          </w:p>
        </w:tc>
        <w:tc>
          <w:tcPr>
            <w:tcW w:type="dxa" w:w="736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5"/>
              </w:rPr>
              <w:t>Nenhum efeito externo é automático. A responsável pelos contratos pode reabrir, modificar, bloquear e suspender; as intervenções ficam registradas. A divergência do diretor comercial é preservada, mas não substitui o Recurso da contraparte.</w:t>
            </w:r>
          </w:p>
        </w:tc>
      </w:tr>
      <w:tr>
        <w:trPr>
          <w:cantSplit/>
        </w:trPr>
        <w:tc>
          <w:tcPr>
            <w:tcW w:type="dxa" w:w="286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5"/>
              </w:rPr>
              <w:t>Saída - Bloqueante, depois Suficiente</w:t>
            </w:r>
          </w:p>
        </w:tc>
        <w:tc>
          <w:tcPr>
            <w:tcW w:type="dxa" w:w="736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5"/>
              </w:rPr>
              <w:t>A primeira exportação não permite reconstruir configurações e permissões; por isso, o piloto não começa. No segundo teste, a equipe reabre um dossiê em ambiente separado e continua sem o serviço principal. No encerramento, exporta registros e configurações, reabre um dossiê aleatório sem ajuda do fornecedor e revoga os acessos.</w:t>
            </w:r>
          </w:p>
        </w:tc>
      </w:tr>
      <w:tr>
        <w:trPr>
          <w:cantSplit/>
        </w:trPr>
        <w:tc>
          <w:tcPr>
            <w:tcW w:type="dxa" w:w="286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5"/>
              </w:rPr>
              <w:t>Decisão provisória</w:t>
            </w:r>
          </w:p>
        </w:tc>
        <w:tc>
          <w:tcPr>
            <w:tcW w:type="dxa" w:w="736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5"/>
              </w:rPr>
              <w:t>Limitar e testar: noventa dias, primeiro no modo sombra e depois na modalidade Propõe; sem execução autônoma; supervisão, controle e aprendizagem são descontados do benefício.</w:t>
            </w:r>
          </w:p>
        </w:tc>
      </w:tr>
      <w:tr>
        <w:trPr>
          <w:cantSplit/>
        </w:trPr>
        <w:tc>
          <w:tcPr>
            <w:tcW w:type="dxa" w:w="286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5"/>
              </w:rPr>
              <w:t>Monitoramento</w:t>
            </w:r>
          </w:p>
        </w:tc>
        <w:tc>
          <w:tcPr>
            <w:tcW w:type="dxa" w:w="736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5"/>
              </w:rPr>
              <w:t>A equipe registra redução dos prazos, exceções, intervenções, horas de especialistas e reconstrução da origem. O sistema continua tecnicamente capaz; quando a supervisão é realmente exercida, a vantagem líquida não sustenta esse processo e esse volume.</w:t>
            </w:r>
          </w:p>
        </w:tc>
      </w:tr>
      <w:tr>
        <w:trPr>
          <w:cantSplit/>
        </w:trPr>
        <w:tc>
          <w:tcPr>
            <w:tcW w:type="dxa" w:w="286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5"/>
              </w:rPr>
              <w:t>Decisão final - 15 de outubro de 2050</w:t>
            </w:r>
          </w:p>
        </w:tc>
        <w:tc>
          <w:tcPr>
            <w:tcW w:type="dxa" w:w="736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5"/>
              </w:rPr>
              <w:t>Não delegar. Não renovar nem mesmo a modalidade Propõe; iniciar a saída e manter uma alternativa. Davide assina e assume uma decisão que renuncia a um benefício real.</w:t>
            </w:r>
          </w:p>
        </w:tc>
      </w:tr>
      <w:tr>
        <w:trPr>
          <w:cantSplit/>
        </w:trPr>
        <w:tc>
          <w:tcPr>
            <w:tcW w:type="dxa" w:w="286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5"/>
              </w:rPr>
              <w:t>Alternativa mantida</w:t>
            </w:r>
          </w:p>
        </w:tc>
        <w:tc>
          <w:tcPr>
            <w:tcW w:type="dxa" w:w="736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5"/>
              </w:rPr>
              <w:t>Conjunto de cláusulas aprovadas, exceções identificadas desde o início, participação antecipada da pessoa especialista e horas protegidas para reconstruir os casos.</w:t>
            </w:r>
          </w:p>
        </w:tc>
      </w:tr>
      <w:tr>
        <w:trPr>
          <w:cantSplit/>
        </w:trPr>
        <w:tc>
          <w:tcPr>
            <w:tcW w:type="dxa" w:w="286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5"/>
              </w:rPr>
              <w:t>Custo do não</w:t>
            </w:r>
          </w:p>
        </w:tc>
        <w:tc>
          <w:tcPr>
            <w:tcW w:type="dxa" w:w="736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5"/>
              </w:rPr>
              <w:t>Propostas na fila, horas não faturáveis, saldo devido ao fornecedor, margem menor e um cliente perdido. A empresa mantém dossiês legíveis e uma competência mais bem distribuída.</w:t>
            </w:r>
          </w:p>
        </w:tc>
      </w:tr>
      <w:tr>
        <w:trPr>
          <w:cantSplit/>
        </w:trPr>
        <w:tc>
          <w:tcPr>
            <w:tcW w:type="dxa" w:w="286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5"/>
              </w:rPr>
              <w:t>Responsável e reexame</w:t>
            </w:r>
          </w:p>
        </w:tc>
        <w:tc>
          <w:tcPr>
            <w:tcW w:type="dxa" w:w="736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5"/>
              </w:rPr>
              <w:t>Davide. Registro de encerramento datado de 16 de outubro de 2050; reexame previsto para 15 de abril de 2051.</w:t>
            </w:r>
          </w:p>
        </w:tc>
      </w:tr>
    </w:tbl>
    <w:p>
      <w:pPr>
        <w:spacing w:after="0"/>
      </w:pPr>
    </w:p>
    <w:p>
      <w:pPr>
        <w:pStyle w:val="Heading1"/>
      </w:pPr>
      <w:r>
        <w:t>Reabertura: 15 de abril de 2051</w:t>
      </w:r>
    </w:p>
    <w:p>
      <w:pPr>
        <w:keepLines w:val="0"/>
      </w:pPr>
      <w:r>
        <w:rPr>
          <w:rFonts w:ascii="DejaVu Sans" w:hAnsi="DejaVu Sans" w:eastAsia="DejaVu Sans"/>
          <w:color w:val="1E2528"/>
          <w:sz w:val="18"/>
        </w:rPr>
        <w:t>Seis meses depois, o não é reexaminado sem ser apagado. A proposta é nova e mais restrita; o teste permanece separado da compra e conserva a possibilidade concreta de voltar a responder não.</w:t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2760"/>
        <w:gridCol w:w="7464"/>
      </w:tblGrid>
      <w:tr>
        <w:trPr>
          <w:tblHeader w:val="true"/>
          <w:cantSplit/>
        </w:trPr>
        <w:tc>
          <w:tcPr>
            <w:tcW w:type="dxa" w:w="27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23044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Campo</w:t>
            </w:r>
          </w:p>
        </w:tc>
        <w:tc>
          <w:tcPr>
            <w:tcW w:type="dxa" w:w="746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23044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Reabertura em 15 de abril de 2051</w:t>
            </w:r>
          </w:p>
        </w:tc>
      </w:tr>
      <w:tr>
        <w:trPr>
          <w:cantSplit/>
        </w:trPr>
        <w:tc>
          <w:tcPr>
            <w:tcW w:type="dxa" w:w="27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Nova proposta</w:t>
            </w:r>
          </w:p>
        </w:tc>
        <w:tc>
          <w:tcPr>
            <w:tcW w:type="dxa" w:w="746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Pesquisar precedentes sem gerar propostas comerciais, com menor custo e sem acesso a dossiês abertos.</w:t>
            </w:r>
          </w:p>
        </w:tc>
      </w:tr>
      <w:tr>
        <w:trPr>
          <w:cantSplit/>
        </w:trPr>
        <w:tc>
          <w:tcPr>
            <w:tcW w:type="dxa" w:w="27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Perímetro do teste</w:t>
            </w:r>
          </w:p>
        </w:tc>
        <w:tc>
          <w:tcPr>
            <w:tcW w:type="dxa" w:w="746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Novo teste no modo sombra com casos encerrados; nenhuma compra ou efeito externo é autorizado.</w:t>
            </w:r>
          </w:p>
        </w:tc>
      </w:tr>
      <w:tr>
        <w:trPr>
          <w:cantSplit/>
        </w:trPr>
        <w:tc>
          <w:tcPr>
            <w:tcW w:type="dxa" w:w="27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Evidências e custos</w:t>
            </w:r>
          </w:p>
        </w:tc>
        <w:tc>
          <w:tcPr>
            <w:tcW w:type="dxa" w:w="746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Tempo de espera, correções tardias, margem, horas de especialistas, supervisão, treinamento e aprendizagem permanecem registrados na mesma conta.</w:t>
            </w:r>
          </w:p>
        </w:tc>
      </w:tr>
      <w:tr>
        <w:trPr>
          <w:cantSplit/>
        </w:trPr>
        <w:tc>
          <w:tcPr>
            <w:tcW w:type="dxa" w:w="27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Limiar e interrupção</w:t>
            </w:r>
          </w:p>
        </w:tc>
        <w:tc>
          <w:tcPr>
            <w:tcW w:type="dxa" w:w="746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O critério de sucesso, a pessoa responsável e a autoridade para interromper são fixados antes do início; o teste pode ser encerrado sem comprar o sistema.</w:t>
            </w:r>
          </w:p>
        </w:tc>
      </w:tr>
      <w:tr>
        <w:trPr>
          <w:cantSplit/>
        </w:trPr>
        <w:tc>
          <w:tcPr>
            <w:tcW w:type="dxa" w:w="27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Decisão</w:t>
            </w:r>
          </w:p>
        </w:tc>
        <w:tc>
          <w:tcPr>
            <w:tcW w:type="dxa" w:w="746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Reabrir a comparação não revoga o primeiro não. Ao final, continuam disponíveis Não delegar e a possibilidade concreta de voltar a responder não.</w:t>
            </w:r>
          </w:p>
        </w:tc>
      </w:tr>
    </w:tbl>
    <w:p>
      <w:pPr>
        <w:spacing w:after="0"/>
      </w:pPr>
    </w:p>
    <w:p>
      <w:pPr>
        <w:pStyle w:val="Heading1"/>
      </w:pPr>
      <w:r>
        <w:t>Critério transferível</w:t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50" w:type="dxa"/>
        <w:tblBorders>
          <w:top w:val="single" w:sz="7" w:space="0" w:color="B54B2A"/>
          <w:left w:val="single" w:sz="7" w:space="0" w:color="B54B2A"/>
          <w:bottom w:val="single" w:sz="7" w:space="0" w:color="B54B2A"/>
          <w:right w:val="single" w:sz="7" w:space="0" w:color="B54B2A"/>
          <w:insideH w:val="single" w:sz="7" w:space="0" w:color="B54B2A"/>
          <w:insideV w:val="single" w:sz="7" w:space="0" w:color="B54B2A"/>
        </w:tblBorders>
      </w:tblPr>
      <w:tblGrid>
        <w:gridCol w:w="10224"/>
      </w:tblGrid>
      <w:tr>
        <w:trPr>
          <w:cantSplit/>
        </w:trPr>
        <w:tc>
          <w:tcPr>
            <w:tcW w:type="dxa" w:w="10224"/>
            <w:shd w:fill="F7E7E0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40"/>
            </w:pPr>
            <w:r>
              <w:rPr>
                <w:rFonts w:ascii="DejaVu Sans" w:hAnsi="DejaVu Sans" w:eastAsia="DejaVu Sans"/>
                <w:b/>
                <w:color w:val="B54B2A"/>
                <w:sz w:val="17"/>
              </w:rPr>
              <w:t xml:space="preserve">O SENTIDO DO CASO  </w:t>
            </w:r>
            <w:r>
              <w:rPr>
                <w:rFonts w:ascii="DejaVu Sans" w:hAnsi="DejaVu Sans" w:eastAsia="DejaVu Sans"/>
                <w:color w:val="1E2528"/>
                <w:sz w:val="18"/>
              </w:rPr>
              <w:t>Não delegar não significa declarar o produto inútil. Significa recusar esse poder, nesse processo e nesse momento, quando o benefício residual não sustenta supervisão, dependência e saída e quando existe uma alternativa organizacional melhor. O não continua fundamentado, custoso e passível de reabertura.</w:t>
            </w:r>
          </w:p>
        </w:tc>
      </w:tr>
    </w:tbl>
    <w:p>
      <w:pPr>
        <w:spacing w:after="0"/>
      </w:pPr>
    </w:p>
    <w:p>
      <w:pPr>
        <w:pStyle w:val="Heading2"/>
      </w:pPr>
      <w:r>
        <w:t>Perguntas para transferir o caso</w:t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5010"/>
        <w:gridCol w:w="5214"/>
      </w:tblGrid>
      <w:tr>
        <w:trPr>
          <w:tblHeader w:val="true"/>
          <w:cantSplit/>
        </w:trPr>
        <w:tc>
          <w:tcPr>
            <w:tcW w:type="dxa" w:w="501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23044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Pergunta</w:t>
            </w:r>
          </w:p>
        </w:tc>
        <w:tc>
          <w:tcPr>
            <w:tcW w:type="dxa" w:w="521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23044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Evidência a procurar em seu contexto</w:t>
            </w:r>
          </w:p>
        </w:tc>
      </w:tr>
      <w:tr>
        <w:trPr>
          <w:cantSplit/>
          <w:trHeight w:val="520" w:hRule="atLeast"/>
        </w:trPr>
        <w:tc>
          <w:tcPr>
            <w:tcW w:type="dxa" w:w="501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O critério de sucesso mede a necessidade ou apenas o volume produzido?</w:t>
            </w:r>
          </w:p>
        </w:tc>
        <w:tc>
          <w:tcPr>
            <w:tcW w:type="dxa" w:w="521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</w:r>
          </w:p>
        </w:tc>
      </w:tr>
      <w:tr>
        <w:trPr>
          <w:cantSplit/>
          <w:trHeight w:val="520" w:hRule="atLeast"/>
        </w:trPr>
        <w:tc>
          <w:tcPr>
            <w:tcW w:type="dxa" w:w="501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Qual poder deve permanecer na modalidade Auxilia ou Propõe?</w:t>
            </w:r>
          </w:p>
        </w:tc>
        <w:tc>
          <w:tcPr>
            <w:tcW w:type="dxa" w:w="521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</w:r>
          </w:p>
        </w:tc>
      </w:tr>
      <w:tr>
        <w:trPr>
          <w:cantSplit/>
          <w:trHeight w:val="520" w:hRule="atLeast"/>
        </w:trPr>
        <w:tc>
          <w:tcPr>
            <w:tcW w:type="dxa" w:w="501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Quem paga a supervisão, o treinamento, a espera e a saída?</w:t>
            </w:r>
          </w:p>
        </w:tc>
        <w:tc>
          <w:tcPr>
            <w:tcW w:type="dxa" w:w="521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</w:r>
          </w:p>
        </w:tc>
      </w:tr>
      <w:tr>
        <w:trPr>
          <w:cantSplit/>
          <w:trHeight w:val="520" w:hRule="atLeast"/>
        </w:trPr>
        <w:tc>
          <w:tcPr>
            <w:tcW w:type="dxa" w:w="501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Qual erro plausível parece elegante e convincente, mas está errado no ponto decisivo?</w:t>
            </w:r>
          </w:p>
        </w:tc>
        <w:tc>
          <w:tcPr>
            <w:tcW w:type="dxa" w:w="521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</w:r>
          </w:p>
        </w:tc>
      </w:tr>
      <w:tr>
        <w:trPr>
          <w:cantSplit/>
          <w:trHeight w:val="520" w:hRule="atLeast"/>
        </w:trPr>
        <w:tc>
          <w:tcPr>
            <w:tcW w:type="dxa" w:w="501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O teste de saída permite reconstruir também configurações e permissões?</w:t>
            </w:r>
          </w:p>
        </w:tc>
        <w:tc>
          <w:tcPr>
            <w:tcW w:type="dxa" w:w="521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</w:r>
          </w:p>
        </w:tc>
      </w:tr>
      <w:tr>
        <w:trPr>
          <w:cantSplit/>
          <w:trHeight w:val="520" w:hRule="atLeast"/>
        </w:trPr>
        <w:tc>
          <w:tcPr>
            <w:tcW w:type="dxa" w:w="501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Qual alternativa organizacional responde à mesma necessidade?</w:t>
            </w:r>
          </w:p>
        </w:tc>
        <w:tc>
          <w:tcPr>
            <w:tcW w:type="dxa" w:w="521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</w:r>
          </w:p>
        </w:tc>
      </w:tr>
      <w:tr>
        <w:trPr>
          <w:cantSplit/>
          <w:trHeight w:val="520" w:hRule="atLeast"/>
        </w:trPr>
        <w:tc>
          <w:tcPr>
            <w:tcW w:type="dxa" w:w="501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Qual mudança justificaria reabrir sem apagar o primeiro não?</w:t>
            </w:r>
          </w:p>
        </w:tc>
        <w:tc>
          <w:tcPr>
            <w:tcW w:type="dxa" w:w="521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</w:r>
          </w:p>
        </w:tc>
      </w:tr>
    </w:tbl>
    <w:p>
      <w:pPr>
        <w:spacing w:after="0"/>
      </w:pPr>
    </w:p>
    <w:sectPr w:rsidR="00FC693F" w:rsidRPr="0006063C" w:rsidSect="00034616">
      <w:headerReference w:type="default" r:id="rId9"/>
      <w:footerReference w:type="default" r:id="rId10"/>
      <w:footerReference w:type="first" r:id="rId11"/>
      <w:headerReference w:type="even" r:id="rId14"/>
      <w:footerReference w:type="even" r:id="rId15"/>
      <w:pgSz w:w="12240" w:h="15840"/>
      <w:pgMar w:top="1008" w:right="1008" w:bottom="1008" w:left="1008" w:header="432" w:footer="432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10152" w:val="left"/>
      </w:tabs>
      <w:spacing w:before="0" w:after="0"/>
    </w:pPr>
    <w:r>
      <w:rPr>
        <w:rFonts w:ascii="DejaVu Sans" w:hAnsi="DejaVu Sans" w:eastAsia="DejaVu Sans"/>
        <w:color w:val="5D6870"/>
        <w:sz w:val="14"/>
      </w:rPr>
      <w:t>2050 - PT-BR-R1 - LETTER - Versão arquivada da edição brasileira - julho de 2026</w:t>
    </w:r>
    <w:r>
      <w:tab/>
    </w:r>
    <w:r>
      <w:rPr>
        <w:rFonts w:ascii="DejaVu Sans" w:hAnsi="DejaVu Sans" w:eastAsia="DejaVu Sans"/>
        <w:color w:val="5D6870"/>
        <w:sz w:val="16"/>
      </w:rPr>
      <w:fldChar w:fldCharType="begin"/>
      <w:instrText xml:space="preserve"> PAGE </w:instrText>
      <w:fldChar w:fldCharType="separate"/>
      <w:t>1</w:t>
      <w:fldChar w:fldCharType="end"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DejaVu Sans" w:hAnsi="DejaVu Sans" w:eastAsia="DejaVu Sans"/>
        <w:color w:val="5D6870"/>
        <w:sz w:val="15"/>
      </w:rPr>
      <w:t>https://www.corneritaliano.com/pt/2050/recursos/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10152" w:val="left"/>
      </w:tabs>
      <w:spacing w:before="0" w:after="0"/>
    </w:pPr>
    <w:r>
      <w:rPr>
        <w:rFonts w:ascii="DejaVu Sans" w:hAnsi="DejaVu Sans" w:eastAsia="DejaVu Sans"/>
        <w:color w:val="5D6870"/>
        <w:sz w:val="14"/>
      </w:rPr>
      <w:t>2050 - PT-BR-R1 - LETTER - Versão arquivada da edição brasileira - julho de 2026</w:t>
    </w:r>
    <w:r>
      <w:tab/>
    </w:r>
    <w:r>
      <w:rPr>
        <w:rFonts w:ascii="DejaVu Sans" w:hAnsi="DejaVu Sans" w:eastAsia="DejaVu Sans"/>
        <w:color w:val="5D6870"/>
        <w:sz w:val="16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DejaVu Sans" w:hAnsi="DejaVu Sans" w:eastAsia="DejaVu Sans"/>
        <w:b/>
        <w:color w:val="B54B2A"/>
        <w:sz w:val="15"/>
      </w:rPr>
      <w:t xml:space="preserve">2050  |  RECURSOS OFICIAIS  |  </w:t>
    </w:r>
    <w:r>
      <w:rPr>
        <w:rFonts w:ascii="DejaVu Sans" w:hAnsi="DejaVu Sans" w:eastAsia="DejaVu Sans"/>
        <w:color w:val="5D6870"/>
        <w:sz w:val="15"/>
      </w:rPr>
      <w:t>Caso Davide - Registro completo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DejaVu Sans" w:hAnsi="DejaVu Sans" w:eastAsia="DejaVu Sans"/>
        <w:b/>
        <w:color w:val="B54B2A"/>
        <w:sz w:val="15"/>
      </w:rPr>
      <w:t xml:space="preserve">2050  |  RECURSOS OFICIAIS  |  </w:t>
    </w:r>
    <w:r>
      <w:rPr>
        <w:rFonts w:ascii="DejaVu Sans" w:hAnsi="DejaVu Sans" w:eastAsia="DejaVu Sans"/>
        <w:color w:val="5D6870"/>
        <w:sz w:val="15"/>
      </w:rPr>
      <w:t>Caso Davide - Registro completo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100" w:line="283" w:lineRule="auto"/>
    </w:pPr>
    <w:rPr>
      <w:rFonts w:ascii="DejaVu Sans" w:hAnsi="DejaVu Sans"/>
      <w:color w:val="1E252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DejaVu Sans" w:hAnsi="DejaVu Sans"/>
      <w:b/>
      <w:bCs/>
      <w:color w:val="123044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DejaVu Sans" w:hAnsi="DejaVu Sans"/>
      <w:b/>
      <w:bCs/>
      <w:color w:val="B54B2A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80" w:after="80"/>
      <w:outlineLvl w:val="2"/>
    </w:pPr>
    <w:rPr>
      <w:rFonts w:asciiTheme="majorHAnsi" w:eastAsiaTheme="majorEastAsia" w:hAnsiTheme="majorHAnsi" w:cstheme="majorBidi" w:ascii="DejaVu Sans" w:hAnsi="DejaVu Sans"/>
      <w:b/>
      <w:bCs/>
      <w:color w:val="234C61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DejaVu Sans" w:hAnsi="DejaVu Sans"/>
      <w:b/>
      <w:color w:val="123044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240"/>
    </w:pPr>
    <w:rPr>
      <w:rFonts w:asciiTheme="majorHAnsi" w:eastAsiaTheme="majorEastAsia" w:hAnsiTheme="majorHAnsi" w:cstheme="majorBidi" w:ascii="DejaVu Sans" w:hAnsi="DejaVu Sans"/>
      <w:b w:val="0"/>
      <w:i/>
      <w:iCs/>
      <w:color w:val="5D6870"/>
      <w:spacing w:val="15"/>
      <w:sz w:val="2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image" Target="media/image1.png"/><Relationship Id="rId13" Type="http://schemas.openxmlformats.org/officeDocument/2006/relationships/hyperlink" Target="https://www.corneritaliano.com/pt/2050/recursos/" TargetMode="External"/><Relationship Id="rId14" Type="http://schemas.openxmlformats.org/officeDocument/2006/relationships/header" Target="header2.xml"/><Relationship Id="rId15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Caso Davide - Registro completo</dc:title>
  <dc:subject>Recurso complementar oficial de 2050</dc:subject>
  <dc:creator>Corner Italiano LLC</dc:creator>
  <cp:keywords>2050, inteligência artificial, Teste 2050, recursos</cp:keywords>
  <dc:description>generated by python-docx</dc:description>
  <cp:lastModifiedBy>Corner Italiano LLC</cp:lastModifiedBy>
  <cp:revision>1</cp:revision>
  <dcterms:created xsi:type="dcterms:W3CDTF">2013-12-23T23:15:00Z</dcterms:created>
  <dcterms:modified xsi:type="dcterms:W3CDTF">2013-12-23T23:15:00Z</dcterms:modified>
  <cp:category/>
</cp:coreProperties>
</file>