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840"/>
        <w:jc w:val="center"/>
      </w:pPr>
      <w:r>
        <w:drawing>
          <wp:inline xmlns:a="http://schemas.openxmlformats.org/drawingml/2006/main" xmlns:pic="http://schemas.openxmlformats.org/drawingml/2006/picture">
            <wp:extent cx="1508760" cy="1005840"/>
            <wp:docPr id="1" name="Picture 1" descr="Logotipo editorial da Corner Italiano" title="Corner Italiano"/>
            <wp:cNvGraphicFramePr>
              <a:graphicFrameLocks noChangeAspect="1"/>
            </wp:cNvGraphicFramePr>
            <a:graphic>
              <a:graphicData uri="http://schemas.openxmlformats.org/drawingml/2006/picture">
                <pic:pic>
                  <pic:nvPicPr>
                    <pic:cNvPr id="0" name="corner-italiano-logo.png"/>
                    <pic:cNvPicPr/>
                  </pic:nvPicPr>
                  <pic:blipFill>
                    <a:blip r:embed="rId12"/>
                    <a:stretch>
                      <a:fillRect/>
                    </a:stretch>
                  </pic:blipFill>
                  <pic:spPr>
                    <a:xfrm>
                      <a:off x="0" y="0"/>
                      <a:ext cx="1508760" cy="1005840"/>
                    </a:xfrm>
                    <a:prstGeom prst="rect"/>
                  </pic:spPr>
                </pic:pic>
              </a:graphicData>
            </a:graphic>
          </wp:inline>
        </w:drawing>
      </w:r>
    </w:p>
    <w:p>
      <w:pPr>
        <w:spacing w:before="520" w:after="160"/>
        <w:jc w:val="center"/>
      </w:pPr>
      <w:r>
        <w:rPr>
          <w:rFonts w:ascii="DejaVu Sans" w:hAnsi="DejaVu Sans" w:eastAsia="DejaVu Sans"/>
          <w:b/>
          <w:color w:val="B54B2A"/>
          <w:sz w:val="17"/>
        </w:rPr>
        <w:t>CORNER ITALIANO  |  RECURSOS OFICIAIS</w:t>
      </w:r>
    </w:p>
    <w:p>
      <w:pPr>
        <w:pStyle w:val="Title"/>
        <w:jc w:val="center"/>
      </w:pPr>
      <w:r>
        <w:rPr>
          <w:rFonts w:ascii="DejaVu Sans" w:hAnsi="DejaVu Sans" w:eastAsia="DejaVu Sans"/>
          <w:b/>
          <w:color w:val="123044"/>
          <w:sz w:val="56"/>
        </w:rPr>
        <w:t>Cronologia essencial</w:t>
      </w:r>
    </w:p>
    <w:p>
      <w:pPr>
        <w:pStyle w:val="Subtitle"/>
        <w:jc w:val="center"/>
      </w:pPr>
      <w:r>
        <w:rPr>
          <w:rFonts w:ascii="DejaVu Sans" w:hAnsi="DejaVu Sans" w:eastAsia="DejaVu Sans"/>
          <w:color w:val="5D6870"/>
          <w:sz w:val="25"/>
        </w:rPr>
        <w:t>Do surgimento da IA aos limiares narrativos de 2050</w:t>
      </w:r>
    </w:p>
    <w:p>
      <w:pPr>
        <w:spacing w:before="440"/>
        <w:jc w:val="center"/>
      </w:pPr>
      <w:r>
        <w:rPr>
          <w:rFonts w:ascii="DejaVu Sans" w:hAnsi="DejaVu Sans" w:eastAsia="DejaVu Sans"/>
          <w:b/>
          <w:color w:val="B54B2A"/>
          <w:sz w:val="17"/>
        </w:rPr>
        <w:t>FATOS, SÍNTESES, REGULAÇÃO E CENÁRIOS</w:t>
      </w:r>
    </w:p>
    <w:p>
      <w:pPr>
        <w:jc w:val="center"/>
      </w:pPr>
      <w:r>
        <w:rPr>
          <w:rFonts w:ascii="DejaVu Sans" w:hAnsi="DejaVu Sans" w:eastAsia="DejaVu Sans"/>
          <w:color w:val="234C61"/>
          <w:sz w:val="19"/>
        </w:rPr>
        <w:t>Versão arquivada da edição brasileira - julho de 2026 - Formato A4</w:t>
      </w:r>
    </w:p>
    <w:p>
      <w:pPr>
        <w:spacing w:before="360"/>
        <w:jc w:val="center"/>
      </w:pPr>
      <w:hyperlink r:id="rId13">
        <w:r>
          <w:rPr>
            <w:rFonts w:ascii="DejaVu Sans" w:hAnsi="DejaVu Sans" w:eastAsia="DejaVu Sans"/>
            <w:color w:val="234C61"/>
            <w:u w:val="single"/>
            <w:sz w:val="18"/>
          </w:rPr>
          <w:t>https://www.corneritaliano.com/pt/2050/recursos/</w:t>
        </w:r>
      </w:hyperlink>
    </w:p>
    <w:p>
      <w:r>
        <w:br w:type="page"/>
      </w:r>
    </w:p>
    <w:tbl>
      <w:tblPr>
        <w:tblW w:type="dxa" w:w="9890"/>
        <w:jc w:val="left"/>
        <w:tblLayout w:type="fixed"/>
        <w:tblLook w:firstColumn="1" w:firstRow="1" w:lastColumn="0" w:lastRow="0" w:noHBand="0" w:noVBand="1" w:val="04A0"/>
        <w:tblInd w:w="150" w:type="dxa"/>
        <w:tblBorders>
          <w:top w:val="single" w:sz="7" w:space="0" w:color="B54B2A"/>
          <w:left w:val="single" w:sz="7" w:space="0" w:color="B54B2A"/>
          <w:bottom w:val="single" w:sz="7" w:space="0" w:color="B54B2A"/>
          <w:right w:val="single" w:sz="7" w:space="0" w:color="B54B2A"/>
          <w:insideH w:val="single" w:sz="7" w:space="0" w:color="B54B2A"/>
          <w:insideV w:val="single" w:sz="7" w:space="0" w:color="B54B2A"/>
        </w:tblBorders>
      </w:tblPr>
      <w:tblGrid>
        <w:gridCol w:w="9890"/>
      </w:tblGrid>
      <w:tr>
        <w:trPr>
          <w:cantSplit/>
        </w:trPr>
        <w:tc>
          <w:tcPr>
            <w:tcW w:type="dxa" w:w="9890"/>
            <w:shd w:fill="F7E7E0"/>
            <w:tcMar>
              <w:top w:w="120" w:type="dxa"/>
              <w:start w:w="150" w:type="dxa"/>
              <w:bottom w:w="120" w:type="dxa"/>
              <w:end w:w="150" w:type="dxa"/>
            </w:tcMar>
          </w:tcPr>
          <w:p>
            <w:pPr>
              <w:spacing w:after="40"/>
            </w:pPr>
            <w:r>
              <w:rPr>
                <w:rFonts w:ascii="DejaVu Sans" w:hAnsi="DejaVu Sans" w:eastAsia="DejaVu Sans"/>
                <w:b/>
                <w:color w:val="B54B2A"/>
                <w:sz w:val="17"/>
              </w:rPr>
              <w:t xml:space="preserve">MÉTODO  </w:t>
            </w:r>
            <w:r>
              <w:rPr>
                <w:rFonts w:ascii="DejaVu Sans" w:hAnsi="DejaVu Sans" w:eastAsia="DejaVu Sans"/>
                <w:color w:val="1E2528"/>
                <w:sz w:val="18"/>
              </w:rPr>
              <w:t>Esta cronologia seleciona os marcos necessários para se orientar no livro e qualifica cada entrada como fato ou síntese histórica, fato regulatório, cenário narrativo ou proposta do autor.</w:t>
            </w:r>
          </w:p>
        </w:tc>
      </w:tr>
    </w:tbl>
    <w:p>
      <w:pPr>
        <w:spacing w:after="0"/>
      </w:pPr>
    </w:p>
    <w:tbl>
      <w:tblPr>
        <w:tblW w:type="dxa" w:w="9890"/>
        <w:jc w:val="left"/>
        <w:tblLayout w:type="fixed"/>
        <w:tblLook w:firstColumn="1" w:firstRow="1" w:lastColumn="0" w:lastRow="0" w:noHBand="0" w:noVBand="1" w:val="04A0"/>
        <w:tblInd w:w="120" w:type="dxa"/>
        <w:tblBorders>
          <w:top w:val="single" w:sz="5" w:space="0" w:color="C8D2D7"/>
          <w:left w:val="single" w:sz="5" w:space="0" w:color="C8D2D7"/>
          <w:bottom w:val="single" w:sz="5" w:space="0" w:color="C8D2D7"/>
          <w:right w:val="single" w:sz="5" w:space="0" w:color="C8D2D7"/>
          <w:insideH w:val="single" w:sz="5" w:space="0" w:color="C8D2D7"/>
          <w:insideV w:val="single" w:sz="5" w:space="0" w:color="C8D2D7"/>
        </w:tblBorders>
      </w:tblPr>
      <w:tblGrid>
        <w:gridCol w:w="2176"/>
        <w:gridCol w:w="7714"/>
      </w:tblGrid>
      <w:tr>
        <w:trPr>
          <w:tblHeader w:val="true"/>
          <w:cantSplit/>
        </w:trPr>
        <w:tc>
          <w:tcPr>
            <w:tcW w:type="dxa" w:w="2176"/>
            <w:vAlign w:val="center"/>
            <w:tcMar>
              <w:top w:w="65" w:type="dxa"/>
              <w:start w:w="120" w:type="dxa"/>
              <w:bottom w:w="65" w:type="dxa"/>
              <w:end w:w="120" w:type="dxa"/>
            </w:tcMar>
            <w:shd w:fill="123044"/>
          </w:tcPr>
          <w:p>
            <w:pPr>
              <w:spacing w:after="0" w:line="240" w:lineRule="auto"/>
            </w:pPr>
            <w:r>
              <w:rPr>
                <w:rFonts w:ascii="DejaVu Sans" w:hAnsi="DejaVu Sans" w:eastAsia="DejaVu Sans"/>
                <w:b/>
                <w:color w:val="FFFFFF"/>
                <w:sz w:val="14"/>
              </w:rPr>
              <w:t>Data ou período</w:t>
            </w:r>
          </w:p>
        </w:tc>
        <w:tc>
          <w:tcPr>
            <w:tcW w:type="dxa" w:w="7714"/>
            <w:vAlign w:val="center"/>
            <w:tcMar>
              <w:top w:w="65" w:type="dxa"/>
              <w:start w:w="120" w:type="dxa"/>
              <w:bottom w:w="65" w:type="dxa"/>
              <w:end w:w="120" w:type="dxa"/>
            </w:tcMar>
            <w:shd w:fill="123044"/>
          </w:tcPr>
          <w:p>
            <w:pPr>
              <w:spacing w:after="0" w:line="240" w:lineRule="auto"/>
            </w:pPr>
            <w:r>
              <w:rPr>
                <w:rFonts w:ascii="DejaVu Sans" w:hAnsi="DejaVu Sans" w:eastAsia="DejaVu Sans"/>
                <w:b/>
                <w:color w:val="FFFFFF"/>
                <w:sz w:val="14"/>
              </w:rPr>
              <w:t>Marco e qualificação</w:t>
            </w:r>
          </w:p>
        </w:tc>
      </w:tr>
      <w:tr>
        <w:trPr>
          <w:cantSplit/>
        </w:trPr>
        <w:tc>
          <w:tcPr>
            <w:tcW w:type="dxa" w:w="2176"/>
            <w:vAlign w:val="center"/>
            <w:tcMar>
              <w:top w:w="65" w:type="dxa"/>
              <w:start w:w="120" w:type="dxa"/>
              <w:bottom w:w="65" w:type="dxa"/>
              <w:end w:w="120" w:type="dxa"/>
            </w:tcMar>
          </w:tcPr>
          <w:p>
            <w:pPr>
              <w:spacing w:after="0" w:line="240" w:lineRule="auto"/>
            </w:pPr>
            <w:r>
              <w:rPr>
                <w:rFonts w:ascii="DejaVu Sans" w:hAnsi="DejaVu Sans" w:eastAsia="DejaVu Sans"/>
                <w:b/>
                <w:color w:val="1E2528"/>
                <w:sz w:val="14"/>
              </w:rPr>
              <w:t>1950</w:t>
            </w:r>
          </w:p>
        </w:tc>
        <w:tc>
          <w:tcPr>
            <w:tcW w:type="dxa" w:w="7714"/>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4"/>
              </w:rPr>
              <w:t>Fato histórico. Alan Turing publica Computing Machinery and Intelligence e substitui a pergunta abstrata 'As máquinas podem pensar?' pelo jogo da imitação, deslocando a atenção para um comportamento observável.</w:t>
            </w:r>
          </w:p>
        </w:tc>
      </w:tr>
      <w:tr>
        <w:trPr>
          <w:cantSplit/>
        </w:trPr>
        <w:tc>
          <w:tcPr>
            <w:tcW w:type="dxa" w:w="2176"/>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4"/>
              </w:rPr>
              <w:t>1955-1956</w:t>
            </w:r>
          </w:p>
        </w:tc>
        <w:tc>
          <w:tcPr>
            <w:tcW w:type="dxa" w:w="7714"/>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4"/>
              </w:rPr>
              <w:t>Fato histórico. John McCarthy, Marvin Minsky, Nathaniel Rochester e Claude Shannon preparam a proposta do encontro de verão de Dartmouth; a expressão inteligência artificial se torna o emblema de um novo campo de pesquisa.</w:t>
            </w:r>
          </w:p>
        </w:tc>
      </w:tr>
      <w:tr>
        <w:trPr>
          <w:cantSplit/>
        </w:trPr>
        <w:tc>
          <w:tcPr>
            <w:tcW w:type="dxa" w:w="2176"/>
            <w:vAlign w:val="center"/>
            <w:tcMar>
              <w:top w:w="65" w:type="dxa"/>
              <w:start w:w="120" w:type="dxa"/>
              <w:bottom w:w="65" w:type="dxa"/>
              <w:end w:w="120" w:type="dxa"/>
            </w:tcMar>
          </w:tcPr>
          <w:p>
            <w:pPr>
              <w:spacing w:after="0" w:line="240" w:lineRule="auto"/>
            </w:pPr>
            <w:r>
              <w:rPr>
                <w:rFonts w:ascii="DejaVu Sans" w:hAnsi="DejaVu Sans" w:eastAsia="DejaVu Sans"/>
                <w:b/>
                <w:color w:val="1E2528"/>
                <w:sz w:val="14"/>
              </w:rPr>
              <w:t>Fim da década de 1950</w:t>
            </w:r>
          </w:p>
        </w:tc>
        <w:tc>
          <w:tcPr>
            <w:tcW w:type="dxa" w:w="7714"/>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4"/>
              </w:rPr>
              <w:t>Síntese histórica. O perceptron de Frank Rosenblatt impulsiona a ideia de que uma máquina pode aprender com exemplos, enquanto hardware, dados e métodos ainda são limitados.</w:t>
            </w:r>
          </w:p>
        </w:tc>
      </w:tr>
      <w:tr>
        <w:trPr>
          <w:cantSplit/>
        </w:trPr>
        <w:tc>
          <w:tcPr>
            <w:tcW w:type="dxa" w:w="2176"/>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4"/>
              </w:rPr>
              <w:t>1966</w:t>
            </w:r>
          </w:p>
        </w:tc>
        <w:tc>
          <w:tcPr>
            <w:tcW w:type="dxa" w:w="7714"/>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4"/>
              </w:rPr>
              <w:t>Fato histórico. Joseph Weizenbaum apresenta ELIZA, um programa simples capaz de produzir, por meio de regras e palavras-chave, uma surpreendente impressão de escuta.</w:t>
            </w:r>
          </w:p>
        </w:tc>
      </w:tr>
      <w:tr>
        <w:trPr>
          <w:cantSplit/>
        </w:trPr>
        <w:tc>
          <w:tcPr>
            <w:tcW w:type="dxa" w:w="2176"/>
            <w:vAlign w:val="center"/>
            <w:tcMar>
              <w:top w:w="65" w:type="dxa"/>
              <w:start w:w="120" w:type="dxa"/>
              <w:bottom w:w="65" w:type="dxa"/>
              <w:end w:w="120" w:type="dxa"/>
            </w:tcMar>
          </w:tcPr>
          <w:p>
            <w:pPr>
              <w:spacing w:after="0" w:line="240" w:lineRule="auto"/>
            </w:pPr>
            <w:r>
              <w:rPr>
                <w:rFonts w:ascii="DejaVu Sans" w:hAnsi="DejaVu Sans" w:eastAsia="DejaVu Sans"/>
                <w:b/>
                <w:color w:val="1E2528"/>
                <w:sz w:val="14"/>
              </w:rPr>
              <w:t>1969</w:t>
            </w:r>
          </w:p>
        </w:tc>
        <w:tc>
          <w:tcPr>
            <w:tcW w:type="dxa" w:w="7714"/>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4"/>
              </w:rPr>
              <w:t>Fato e síntese históricos. Marvin Minsky e Seymour Papert analisam os limites dos perceptrons simples. Os posteriores invernos da IA refletem também a distância entre promessas, financiamento, capacidade computacional e resultados.</w:t>
            </w:r>
          </w:p>
        </w:tc>
      </w:tr>
      <w:tr>
        <w:trPr>
          <w:cantSplit/>
        </w:trPr>
        <w:tc>
          <w:tcPr>
            <w:tcW w:type="dxa" w:w="2176"/>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4"/>
              </w:rPr>
              <w:t>1969</w:t>
            </w:r>
          </w:p>
        </w:tc>
        <w:tc>
          <w:tcPr>
            <w:tcW w:type="dxa" w:w="7714"/>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4"/>
              </w:rPr>
              <w:t>História da infraestrutura. A ARPANET transmite sua primeira mensagem entre dois nós, concretiza uma rede por comutação de pacotes e abre caminho para arquiteturas de comunicação mais amplas.</w:t>
            </w:r>
          </w:p>
        </w:tc>
      </w:tr>
      <w:tr>
        <w:trPr>
          <w:cantSplit/>
        </w:trPr>
        <w:tc>
          <w:tcPr>
            <w:tcW w:type="dxa" w:w="2176"/>
            <w:vAlign w:val="center"/>
            <w:tcMar>
              <w:top w:w="65" w:type="dxa"/>
              <w:start w:w="120" w:type="dxa"/>
              <w:bottom w:w="65" w:type="dxa"/>
              <w:end w:w="120" w:type="dxa"/>
            </w:tcMar>
          </w:tcPr>
          <w:p>
            <w:pPr>
              <w:spacing w:after="0" w:line="240" w:lineRule="auto"/>
            </w:pPr>
            <w:r>
              <w:rPr>
                <w:rFonts w:ascii="DejaVu Sans" w:hAnsi="DejaVu Sans" w:eastAsia="DejaVu Sans"/>
                <w:b/>
                <w:color w:val="1E2528"/>
                <w:sz w:val="14"/>
              </w:rPr>
              <w:t>1º de janeiro de 1983</w:t>
            </w:r>
          </w:p>
        </w:tc>
        <w:tc>
          <w:tcPr>
            <w:tcW w:type="dxa" w:w="7714"/>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4"/>
              </w:rPr>
              <w:t>História da infraestrutura. A ARPANET conclui a transição para TCP/IP: redes diferentes podem se comunicar por meio de uma família comum de protocolos, passo decisivo para a Internet como rede de redes.</w:t>
            </w:r>
          </w:p>
        </w:tc>
      </w:tr>
      <w:tr>
        <w:trPr>
          <w:cantSplit/>
        </w:trPr>
        <w:tc>
          <w:tcPr>
            <w:tcW w:type="dxa" w:w="2176"/>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4"/>
              </w:rPr>
              <w:t>1986</w:t>
            </w:r>
          </w:p>
        </w:tc>
        <w:tc>
          <w:tcPr>
            <w:tcW w:type="dxa" w:w="7714"/>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4"/>
              </w:rPr>
              <w:t>Fato histórico. David Rumelhart, Geoffrey Hinton e Ronald Williams demonstram de forma influente como a retropropagação pode treinar redes com várias camadas.</w:t>
            </w:r>
          </w:p>
        </w:tc>
      </w:tr>
      <w:tr>
        <w:trPr>
          <w:cantSplit/>
        </w:trPr>
        <w:tc>
          <w:tcPr>
            <w:tcW w:type="dxa" w:w="2176"/>
            <w:vAlign w:val="center"/>
            <w:tcMar>
              <w:top w:w="65" w:type="dxa"/>
              <w:start w:w="120" w:type="dxa"/>
              <w:bottom w:w="65" w:type="dxa"/>
              <w:end w:w="120" w:type="dxa"/>
            </w:tcMar>
          </w:tcPr>
          <w:p>
            <w:pPr>
              <w:spacing w:after="0" w:line="240" w:lineRule="auto"/>
            </w:pPr>
            <w:r>
              <w:rPr>
                <w:rFonts w:ascii="DejaVu Sans" w:hAnsi="DejaVu Sans" w:eastAsia="DejaVu Sans"/>
                <w:b/>
                <w:color w:val="1E2528"/>
                <w:sz w:val="14"/>
              </w:rPr>
              <w:t>1989-1991</w:t>
            </w:r>
          </w:p>
        </w:tc>
        <w:tc>
          <w:tcPr>
            <w:tcW w:type="dxa" w:w="7714"/>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4"/>
              </w:rPr>
              <w:t>História da infraestrutura. Tim Berners-Lee propõe a World Wide Web no CERN em 1989, desenvolve o primeiro navegador e o primeiro servidor e, em 1991, o projeto começa a sair do laboratório e abre a rede à navegação por hipertexto.</w:t>
            </w:r>
          </w:p>
        </w:tc>
      </w:tr>
      <w:tr>
        <w:trPr>
          <w:cantSplit/>
        </w:trPr>
        <w:tc>
          <w:tcPr>
            <w:tcW w:type="dxa" w:w="2176"/>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4"/>
              </w:rPr>
              <w:t>1997</w:t>
            </w:r>
          </w:p>
        </w:tc>
        <w:tc>
          <w:tcPr>
            <w:tcW w:type="dxa" w:w="7714"/>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4"/>
              </w:rPr>
              <w:t>Fato histórico. Deep Blue derrota Garry Kasparov em um confronto de seis partidas e torna visível para um grande público o poder do cálculo dentro de um domínio com regras fechadas.</w:t>
            </w:r>
          </w:p>
        </w:tc>
      </w:tr>
      <w:tr>
        <w:trPr>
          <w:cantSplit/>
        </w:trPr>
        <w:tc>
          <w:tcPr>
            <w:tcW w:type="dxa" w:w="2176"/>
            <w:vAlign w:val="center"/>
            <w:tcMar>
              <w:top w:w="65" w:type="dxa"/>
              <w:start w:w="120" w:type="dxa"/>
              <w:bottom w:w="65" w:type="dxa"/>
              <w:end w:w="120" w:type="dxa"/>
            </w:tcMar>
          </w:tcPr>
          <w:p>
            <w:pPr>
              <w:spacing w:after="0" w:line="240" w:lineRule="auto"/>
            </w:pPr>
            <w:r>
              <w:rPr>
                <w:rFonts w:ascii="DejaVu Sans" w:hAnsi="DejaVu Sans" w:eastAsia="DejaVu Sans"/>
                <w:b/>
                <w:color w:val="1E2528"/>
                <w:sz w:val="14"/>
              </w:rPr>
              <w:t>Década de 1990 e início dos anos 2000</w:t>
            </w:r>
          </w:p>
        </w:tc>
        <w:tc>
          <w:tcPr>
            <w:tcW w:type="dxa" w:w="7714"/>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4"/>
              </w:rPr>
              <w:t>Síntese histórica. Internet, Web e serviços móveis transformam a rede de ambiente especializado em infraestrutura cotidiana; arquivos, identidades, comunicações e serviços dependem cada vez mais de sistemas interconectados.</w:t>
            </w:r>
          </w:p>
        </w:tc>
      </w:tr>
      <w:tr>
        <w:trPr>
          <w:cantSplit/>
        </w:trPr>
        <w:tc>
          <w:tcPr>
            <w:tcW w:type="dxa" w:w="2176"/>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4"/>
              </w:rPr>
              <w:t>2012</w:t>
            </w:r>
          </w:p>
        </w:tc>
        <w:tc>
          <w:tcPr>
            <w:tcW w:type="dxa" w:w="7714"/>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4"/>
              </w:rPr>
              <w:t>Fato histórico. AlexNet alcança um resultado muito superior na competição ImageNet com o uso de processadores gráficos e torna visível a aceleração do aprendizado profundo no reconhecimento de imagens.</w:t>
            </w:r>
          </w:p>
        </w:tc>
      </w:tr>
      <w:tr>
        <w:trPr>
          <w:cantSplit/>
        </w:trPr>
        <w:tc>
          <w:tcPr>
            <w:tcW w:type="dxa" w:w="2176"/>
            <w:vAlign w:val="center"/>
            <w:tcMar>
              <w:top w:w="65" w:type="dxa"/>
              <w:start w:w="120" w:type="dxa"/>
              <w:bottom w:w="65" w:type="dxa"/>
              <w:end w:w="120" w:type="dxa"/>
            </w:tcMar>
          </w:tcPr>
          <w:p>
            <w:pPr>
              <w:spacing w:after="0" w:line="240" w:lineRule="auto"/>
            </w:pPr>
            <w:r>
              <w:rPr>
                <w:rFonts w:ascii="DejaVu Sans" w:hAnsi="DejaVu Sans" w:eastAsia="DejaVu Sans"/>
                <w:b/>
                <w:color w:val="1E2528"/>
                <w:sz w:val="14"/>
              </w:rPr>
              <w:t>2017</w:t>
            </w:r>
          </w:p>
        </w:tc>
        <w:tc>
          <w:tcPr>
            <w:tcW w:type="dxa" w:w="7714"/>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4"/>
              </w:rPr>
              <w:t>Fato histórico. Attention Is All You Need apresenta a arquitetura Transformer, que se tornará central para grandes modelos de linguagem e muitos sistemas generativos.</w:t>
            </w:r>
          </w:p>
        </w:tc>
      </w:tr>
      <w:tr>
        <w:trPr>
          <w:cantSplit/>
        </w:trPr>
        <w:tc>
          <w:tcPr>
            <w:tcW w:type="dxa" w:w="2176"/>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4"/>
              </w:rPr>
              <w:t>30 de novembro de 2022</w:t>
            </w:r>
          </w:p>
        </w:tc>
        <w:tc>
          <w:tcPr>
            <w:tcW w:type="dxa" w:w="7714"/>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4"/>
              </w:rPr>
              <w:t>Fato histórico. ChatGPT é apresentado ao público como prévia de pesquisa e torna a IA conversacional acessível em escala cotidiana.</w:t>
            </w:r>
          </w:p>
        </w:tc>
      </w:tr>
      <w:tr>
        <w:trPr>
          <w:cantSplit/>
        </w:trPr>
        <w:tc>
          <w:tcPr>
            <w:tcW w:type="dxa" w:w="2176"/>
            <w:vAlign w:val="center"/>
            <w:tcMar>
              <w:top w:w="65" w:type="dxa"/>
              <w:start w:w="120" w:type="dxa"/>
              <w:bottom w:w="65" w:type="dxa"/>
              <w:end w:w="120" w:type="dxa"/>
            </w:tcMar>
          </w:tcPr>
          <w:p>
            <w:pPr>
              <w:spacing w:after="0" w:line="240" w:lineRule="auto"/>
            </w:pPr>
            <w:r>
              <w:rPr>
                <w:rFonts w:ascii="DejaVu Sans" w:hAnsi="DejaVu Sans" w:eastAsia="DejaVu Sans"/>
                <w:b/>
                <w:color w:val="1E2528"/>
                <w:sz w:val="14"/>
              </w:rPr>
              <w:t>Décadas de 2010 e 2020</w:t>
            </w:r>
          </w:p>
        </w:tc>
        <w:tc>
          <w:tcPr>
            <w:tcW w:type="dxa" w:w="7714"/>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4"/>
              </w:rPr>
              <w:t>Síntese histórica. Serviços em nuvem, centros de dados, APIs, plataformas e objetos conectados se combinam em uma infraestrutura cada vez mais invisível da qual dependem trabalho, saúde, governo, mobilidade e informação.</w:t>
            </w:r>
          </w:p>
        </w:tc>
      </w:tr>
      <w:tr>
        <w:trPr>
          <w:cantSplit/>
        </w:trPr>
        <w:tc>
          <w:tcPr>
            <w:tcW w:type="dxa" w:w="2176"/>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4"/>
              </w:rPr>
              <w:t>1º de agosto de 2024</w:t>
            </w:r>
          </w:p>
        </w:tc>
        <w:tc>
          <w:tcPr>
            <w:tcW w:type="dxa" w:w="7714"/>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4"/>
              </w:rPr>
              <w:t>Fato regulatório. Entra em vigor o Regulamento (UE) 2024/1689, conhecido como AI Act. Suas disposições são aplicadas progressivamente; a data não significa que todas as obrigações começam ao mesmo tempo.</w:t>
            </w:r>
          </w:p>
        </w:tc>
      </w:tr>
      <w:tr>
        <w:trPr>
          <w:cantSplit/>
        </w:trPr>
        <w:tc>
          <w:tcPr>
            <w:tcW w:type="dxa" w:w="2176"/>
            <w:vAlign w:val="center"/>
            <w:tcMar>
              <w:top w:w="65" w:type="dxa"/>
              <w:start w:w="120" w:type="dxa"/>
              <w:bottom w:w="65" w:type="dxa"/>
              <w:end w:w="120" w:type="dxa"/>
            </w:tcMar>
          </w:tcPr>
          <w:p>
            <w:pPr>
              <w:spacing w:after="0" w:line="240" w:lineRule="auto"/>
            </w:pPr>
            <w:r>
              <w:rPr>
                <w:rFonts w:ascii="DejaVu Sans" w:hAnsi="DejaVu Sans" w:eastAsia="DejaVu Sans"/>
                <w:b/>
                <w:color w:val="1E2528"/>
                <w:sz w:val="14"/>
              </w:rPr>
              <w:t>Por volta de 2050</w:t>
            </w:r>
          </w:p>
        </w:tc>
        <w:tc>
          <w:tcPr>
            <w:tcW w:type="dxa" w:w="7714"/>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4"/>
              </w:rPr>
              <w:t>Cenário narrativo. As vinhetas, organizadas por temas, abrangem vários anos. Os intervalos de catorze e dezoito meses pertencem ao fio de Asha; os reexames de seis meses correspondem a Marta e Lidia e a Davide. Datas, custos, tempos, quantidades, capacidades e configurações geopolíticas futuras são parâmetros do cenário, não previsões nem valores observados. Os cenários incluem projetos limitados, interrompidos e não adotados.</w:t>
            </w:r>
          </w:p>
        </w:tc>
      </w:tr>
      <w:tr>
        <w:trPr>
          <w:cantSplit/>
        </w:trPr>
        <w:tc>
          <w:tcPr>
            <w:tcW w:type="dxa" w:w="2176"/>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4"/>
              </w:rPr>
              <w:t>Propostas do livro</w:t>
            </w:r>
          </w:p>
        </w:tc>
        <w:tc>
          <w:tcPr>
            <w:tcW w:type="dxa" w:w="7714"/>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4"/>
              </w:rPr>
              <w:t>Proposta do autor. O Teste 2050, a minimização da prova, o gêmeo operacional, a licença viva e a diretriz digital post mortem são ferramentas que devem ser testadas, corrigidas ou abandonadas: não são fatos consumados, legislação uniforme nem previsões.</w:t>
            </w:r>
          </w:p>
        </w:tc>
      </w:tr>
    </w:tbl>
    <w:p>
      <w:pPr>
        <w:spacing w:after="0"/>
      </w:pPr>
    </w:p>
    <w:p>
      <w:pPr>
        <w:pStyle w:val="Heading1"/>
      </w:pPr>
      <w:r>
        <w:t>Como citar a cronologia</w:t>
      </w:r>
    </w:p>
    <w:p>
      <w:pPr>
        <w:keepLines w:val="0"/>
      </w:pPr>
      <w:r>
        <w:rPr>
          <w:rFonts w:ascii="DejaVu Sans" w:hAnsi="DejaVu Sans" w:eastAsia="DejaVu Sans"/>
          <w:color w:val="1E2528"/>
          <w:sz w:val="18"/>
        </w:rPr>
        <w:t>As entradas históricas e regulatórias remetem à bibliografia pesquisável do Centro de recursos. As cenas situadas por volta de 2050 permanecem parâmetros narrativos, não previsões. As propostas do livro devem ser testadas, corrigidas ou abandonadas segundo as evidências e o contexto.</w:t>
      </w:r>
    </w:p>
    <w:sectPr w:rsidR="00FC693F" w:rsidRPr="0006063C" w:rsidSect="00034616">
      <w:headerReference w:type="default" r:id="rId9"/>
      <w:footerReference w:type="default" r:id="rId10"/>
      <w:footerReference w:type="first" r:id="rId11"/>
      <w:headerReference w:type="even" r:id="rId14"/>
      <w:footerReference w:type="even" r:id="rId15"/>
      <w:pgSz w:w="11905" w:h="16838"/>
      <w:pgMar w:top="1008" w:right="1008" w:bottom="1008" w:left="1008" w:header="432" w:footer="432"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9749" w:val="left"/>
      </w:tabs>
      <w:spacing w:before="0" w:after="0"/>
    </w:pPr>
    <w:r>
      <w:rPr>
        <w:rFonts w:ascii="DejaVu Sans" w:hAnsi="DejaVu Sans" w:eastAsia="DejaVu Sans"/>
        <w:color w:val="5D6870"/>
        <w:sz w:val="14"/>
      </w:rPr>
      <w:t>2050 - PT-BR-R1 - A4 - Versão arquivada da edição brasileira - julho de 2026</w:t>
    </w:r>
    <w:r>
      <w:tab/>
    </w:r>
    <w:r>
      <w:rPr>
        <w:rFonts w:ascii="DejaVu Sans" w:hAnsi="DejaVu Sans" w:eastAsia="DejaVu Sans"/>
        <w:color w:val="5D6870"/>
        <w:sz w:val="16"/>
      </w:rPr>
      <w:fldChar w:fldCharType="begin"/>
      <w:instrText xml:space="preserve"> PAGE </w:instrText>
      <w:fldChar w:fldCharType="separate"/>
      <w:t>1</w:t>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DejaVu Sans" w:hAnsi="DejaVu Sans" w:eastAsia="DejaVu Sans"/>
        <w:color w:val="5D6870"/>
        <w:sz w:val="15"/>
      </w:rPr>
      <w:t>https://www.corneritaliano.com/pt/2050/recursos/</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9749" w:val="left"/>
      </w:tabs>
      <w:spacing w:before="0" w:after="0"/>
    </w:pPr>
    <w:r>
      <w:rPr>
        <w:rFonts w:ascii="DejaVu Sans" w:hAnsi="DejaVu Sans" w:eastAsia="DejaVu Sans"/>
        <w:color w:val="5D6870"/>
        <w:sz w:val="14"/>
      </w:rPr>
      <w:t>2050 - PT-BR-R1 - A4 - Versão arquivada da edição brasileira - julho de 2026</w:t>
    </w:r>
    <w:r>
      <w:tab/>
    </w:r>
    <w:r>
      <w:rPr>
        <w:rFonts w:ascii="DejaVu Sans" w:hAnsi="DejaVu Sans" w:eastAsia="DejaVu Sans"/>
        <w:color w:val="5D6870"/>
        <w:sz w:val="16"/>
      </w:rPr>
      <w:fldChar w:fldCharType="begin"/>
      <w:instrText xml:space="preserve"> PAGE </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left"/>
    </w:pPr>
    <w:r>
      <w:rPr>
        <w:rFonts w:ascii="DejaVu Sans" w:hAnsi="DejaVu Sans" w:eastAsia="DejaVu Sans"/>
        <w:b/>
        <w:color w:val="B54B2A"/>
        <w:sz w:val="15"/>
      </w:rPr>
      <w:t xml:space="preserve">2050  |  RECURSOS OFICIAIS  |  </w:t>
    </w:r>
    <w:r>
      <w:rPr>
        <w:rFonts w:ascii="DejaVu Sans" w:hAnsi="DejaVu Sans" w:eastAsia="DejaVu Sans"/>
        <w:color w:val="5D6870"/>
        <w:sz w:val="15"/>
      </w:rPr>
      <w:t>Cronologia essencial</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left"/>
    </w:pPr>
    <w:r>
      <w:rPr>
        <w:rFonts w:ascii="DejaVu Sans" w:hAnsi="DejaVu Sans" w:eastAsia="DejaVu Sans"/>
        <w:b/>
        <w:color w:val="B54B2A"/>
        <w:sz w:val="15"/>
      </w:rPr>
      <w:t xml:space="preserve">2050  |  RECURSOS OFICIAIS  |  </w:t>
    </w:r>
    <w:r>
      <w:rPr>
        <w:rFonts w:ascii="DejaVu Sans" w:hAnsi="DejaVu Sans" w:eastAsia="DejaVu Sans"/>
        <w:color w:val="5D6870"/>
        <w:sz w:val="15"/>
      </w:rPr>
      <w:t>Cronologia essencial</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before="0" w:after="100" w:line="283" w:lineRule="auto"/>
    </w:pPr>
    <w:rPr>
      <w:rFonts w:ascii="DejaVu Sans" w:hAnsi="DejaVu Sans"/>
      <w:color w:val="1E2528"/>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DejaVu Sans" w:hAnsi="DejaVu Sans"/>
      <w:b/>
      <w:bCs/>
      <w:color w:val="123044"/>
      <w:sz w:val="34"/>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DejaVu Sans" w:hAnsi="DejaVu Sans"/>
      <w:b/>
      <w:bCs/>
      <w:color w:val="B54B2A"/>
      <w:sz w:val="25"/>
      <w:szCs w:val="26"/>
    </w:rPr>
  </w:style>
  <w:style w:type="paragraph" w:styleId="Heading3">
    <w:name w:val="heading 3"/>
    <w:basedOn w:val="Normal"/>
    <w:next w:val="Normal"/>
    <w:link w:val="Heading3Char"/>
    <w:uiPriority w:val="9"/>
    <w:unhideWhenUsed/>
    <w:qFormat/>
    <w:rsid w:val="00FC693F"/>
    <w:pPr>
      <w:keepNext/>
      <w:keepLines/>
      <w:spacing w:before="180" w:after="80"/>
      <w:outlineLvl w:val="2"/>
    </w:pPr>
    <w:rPr>
      <w:rFonts w:asciiTheme="majorHAnsi" w:eastAsiaTheme="majorEastAsia" w:hAnsiTheme="majorHAnsi" w:cstheme="majorBidi" w:ascii="DejaVu Sans" w:hAnsi="DejaVu Sans"/>
      <w:b/>
      <w:bCs/>
      <w:color w:val="234C61"/>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60" w:line="240" w:lineRule="auto" w:before="0"/>
      <w:contextualSpacing/>
    </w:pPr>
    <w:rPr>
      <w:rFonts w:asciiTheme="majorHAnsi" w:eastAsiaTheme="majorEastAsia" w:hAnsiTheme="majorHAnsi" w:cstheme="majorBidi" w:ascii="DejaVu Sans" w:hAnsi="DejaVu Sans"/>
      <w:b/>
      <w:color w:val="123044"/>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240"/>
    </w:pPr>
    <w:rPr>
      <w:rFonts w:asciiTheme="majorHAnsi" w:eastAsiaTheme="majorEastAsia" w:hAnsiTheme="majorHAnsi" w:cstheme="majorBidi" w:ascii="DejaVu Sans" w:hAnsi="DejaVu Sans"/>
      <w:b w:val="0"/>
      <w:i/>
      <w:iCs/>
      <w:color w:val="5D6870"/>
      <w:spacing w:val="15"/>
      <w:sz w:val="26"/>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image" Target="media/image1.png"/><Relationship Id="rId13" Type="http://schemas.openxmlformats.org/officeDocument/2006/relationships/hyperlink" Target="https://www.corneritaliano.com/pt/2050/recursos/" TargetMode="External"/><Relationship Id="rId14" Type="http://schemas.openxmlformats.org/officeDocument/2006/relationships/header" Target="header2.xml"/><Relationship Id="rId15"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Cronologia essencial</dc:title>
  <dc:subject>Recurso complementar oficial de 2050</dc:subject>
  <dc:creator>Corner Italiano LLC</dc:creator>
  <cp:keywords>2050, inteligência artificial, Teste 2050, recursos</cp:keywords>
  <dc:description>generated by python-docx</dc:description>
  <cp:lastModifiedBy>Corner Italiano LLC</cp:lastModifiedBy>
  <cp:revision>1</cp:revision>
  <dcterms:created xsi:type="dcterms:W3CDTF">2013-12-23T23:15:00Z</dcterms:created>
  <dcterms:modified xsi:type="dcterms:W3CDTF">2013-12-23T23:15:00Z</dcterms:modified>
  <cp:category/>
</cp:coreProperties>
</file>