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a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OFICIAIS</w:t>
      </w:r>
    </w:p>
    <w:p>
      <w:pPr>
        <w:pStyle w:val="Title"/>
        <w:jc w:val="center"/>
      </w:pPr>
      <w:r>
        <w:rPr>
          <w:rFonts w:ascii="DejaVu Sans" w:hAnsi="DejaVu Sans" w:eastAsia="DejaVu Sans"/>
          <w:b/>
          <w:color w:val="123044"/>
          <w:sz w:val="56"/>
        </w:rPr>
        <w:t>Cronologia essencial</w:t>
      </w:r>
    </w:p>
    <w:p>
      <w:pPr>
        <w:pStyle w:val="Subtitle"/>
        <w:jc w:val="center"/>
      </w:pPr>
      <w:r>
        <w:rPr>
          <w:rFonts w:ascii="DejaVu Sans" w:hAnsi="DejaVu Sans" w:eastAsia="DejaVu Sans"/>
          <w:color w:val="5D6870"/>
          <w:sz w:val="25"/>
        </w:rPr>
        <w:t>Do surgimento da IA aos limiares narrativos de 2050</w:t>
      </w:r>
    </w:p>
    <w:p>
      <w:pPr>
        <w:spacing w:before="440"/>
        <w:jc w:val="center"/>
      </w:pPr>
      <w:r>
        <w:rPr>
          <w:rFonts w:ascii="DejaVu Sans" w:hAnsi="DejaVu Sans" w:eastAsia="DejaVu Sans"/>
          <w:b/>
          <w:color w:val="B54B2A"/>
          <w:sz w:val="17"/>
        </w:rPr>
        <w:t>FATOS, SÍNTESES, REGULAÇÃO E CENÁRIOS</w:t>
      </w:r>
    </w:p>
    <w:p>
      <w:pPr>
        <w:jc w:val="center"/>
      </w:pPr>
      <w:r>
        <w:rPr>
          <w:rFonts w:ascii="DejaVu Sans" w:hAnsi="DejaVu Sans" w:eastAsia="DejaVu Sans"/>
          <w:color w:val="234C61"/>
          <w:sz w:val="19"/>
        </w:rPr>
        <w:t>Versão arquivada da edição brasileira - julho de 2026 - Formato US Letter (8,5 x 11 pol.)</w:t>
      </w:r>
    </w:p>
    <w:p>
      <w:pPr>
        <w:spacing w:before="360"/>
        <w:jc w:val="center"/>
      </w:pPr>
      <w:hyperlink r:id="rId13">
        <w:r>
          <w:rPr>
            <w:rFonts w:ascii="DejaVu Sans" w:hAnsi="DejaVu Sans" w:eastAsia="DejaVu Sans"/>
            <w:color w:val="234C61"/>
            <w:u w:val="single"/>
            <w:sz w:val="18"/>
          </w:rPr>
          <w:t>https://www.corneritaliano.com/pt/2050/recursos/</w:t>
        </w:r>
      </w:hyperlink>
    </w:p>
    <w:p>
      <w:r>
        <w:br w:type="page"/>
      </w: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MÉTODO  </w:t>
            </w:r>
            <w:r>
              <w:rPr>
                <w:rFonts w:ascii="DejaVu Sans" w:hAnsi="DejaVu Sans" w:eastAsia="DejaVu Sans"/>
                <w:color w:val="1E2528"/>
                <w:sz w:val="18"/>
              </w:rPr>
              <w:t>Esta cronologia seleciona os marcos necessários para se orientar no livro e qualifica cada entrada como fato ou síntese histórica, fato regulatório, cenário narrativo ou proposta do autor.</w:t>
            </w:r>
          </w:p>
        </w:tc>
      </w:tr>
    </w:tbl>
    <w:p>
      <w:pPr>
        <w:spacing w:after="0"/>
      </w:pPr>
    </w:p>
    <w:tbl>
      <w:tblPr>
        <w:tblW w:type="dxa" w:w="10224"/>
        <w:jc w:val="left"/>
        <w:tblLayout w:type="fixed"/>
        <w:tblLook w:firstColumn="1" w:firstRow="1" w:lastColumn="0" w:lastRow="0" w:noHBand="0" w:noVBand="1" w:val="04A0"/>
        <w:tblInd w:w="120" w:type="dxa"/>
        <w:tblBorders>
          <w:top w:val="single" w:sz="5" w:space="0" w:color="C8D2D7"/>
          <w:left w:val="single" w:sz="5" w:space="0" w:color="C8D2D7"/>
          <w:bottom w:val="single" w:sz="5" w:space="0" w:color="C8D2D7"/>
          <w:right w:val="single" w:sz="5" w:space="0" w:color="C8D2D7"/>
          <w:insideH w:val="single" w:sz="5" w:space="0" w:color="C8D2D7"/>
          <w:insideV w:val="single" w:sz="5" w:space="0" w:color="C8D2D7"/>
        </w:tblBorders>
      </w:tblPr>
      <w:tblGrid>
        <w:gridCol w:w="2249"/>
        <w:gridCol w:w="7975"/>
      </w:tblGrid>
      <w:tr>
        <w:trPr>
          <w:tblHeader w:val="true"/>
          <w:cantSplit/>
        </w:trPr>
        <w:tc>
          <w:tcPr>
            <w:tcW w:type="dxa" w:w="2249"/>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Data ou período</w:t>
            </w:r>
          </w:p>
        </w:tc>
        <w:tc>
          <w:tcPr>
            <w:tcW w:type="dxa" w:w="7975"/>
            <w:vAlign w:val="center"/>
            <w:tcMar>
              <w:top w:w="65" w:type="dxa"/>
              <w:start w:w="120" w:type="dxa"/>
              <w:bottom w:w="65" w:type="dxa"/>
              <w:end w:w="120" w:type="dxa"/>
            </w:tcMar>
            <w:shd w:fill="123044"/>
          </w:tcPr>
          <w:p>
            <w:pPr>
              <w:spacing w:after="0" w:line="240" w:lineRule="auto"/>
            </w:pPr>
            <w:r>
              <w:rPr>
                <w:rFonts w:ascii="DejaVu Sans" w:hAnsi="DejaVu Sans" w:eastAsia="DejaVu Sans"/>
                <w:b/>
                <w:color w:val="FFFFFF"/>
                <w:sz w:val="14"/>
              </w:rPr>
              <w:t>Marco e qualificação</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Fato histórico. Alan Turing publica Computing Machinery and Intelligence e substitui a pergunta abstrata 'As máquinas podem pensar?' pelo jogo da imitação, deslocando a atenção para um comportamento observável.</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1955-1956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John McCarthy, Marvin Minsky, Nathaniel Rochester e Claude Shannon preparam a proposta do encontro de verão de Dartmouth; a expressão inteligência artificial se torna o emblema de um novo campo de pesquisa.</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Fim da década de 1950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Síntese histórica. O perceptron de Frank Rosenblatt impulsiona a ideia de que uma máquina pode aprender com exemplos, enquanto hardware, dados e métodos ainda são limitados.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Joseph Weizenbaum apresenta ELIZA, um programa simples capaz de produzir, por meio de regras e palavras-chave, uma surpreendente impressão de escuta.</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1969</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Fato e síntese históricos. Marvin Minsky e Seymour Papert analisam os limites dos perceptrons simples. Os posteriores invernos da IA refletem também a distância entre promessas, financiamento, capacidade computacional e resultados.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1969</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História da infraestrutura. A ARPANET transmite sua primeira mensagem entre dois nós, concretiza uma rede por comutação de pacotes e abre caminho para arquiteturas de comunicação mais amplas.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1º de janeiro de 1983</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História da infraestrutura. A ARPANET conclui a transição para TCP/IP: redes diferentes podem se comunicar por meio de uma família comum de protocolos, passo decisivo para a Internet como rede de redes.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1986</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David Rumelhart, Geoffrey Hinton e Ronald Williams demonstram de forma influente como a retropropagação pode treinar redes com várias camadas.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1989-1991</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História da infraestrutura. Tim Berners-Lee propõe a World Wide Web no CERN em 1989, desenvolve o primeiro navegador e o primeiro servidor e, em 1991, o projeto começa a sair do laboratório e abre a rede à navegação por hipertexto.</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1997</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Deep Blue derrota Garry Kasparov em um confronto de seis partidas e torna visível para um grande público o poder do cálculo dentro de um domínio com regras fechadas.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Década de 1990 e início dos anos 2000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Síntese histórica. Internet, Web e serviços móveis transformam a rede de ambiente especializado em infraestrutura cotidiana; arquivos, identidades, comunicações e serviços dependem cada vez mais de sistemas interconectados.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2012</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AlexNet alcança um resultado muito superior na competição ImageNet com o uso de processadores gráficos e torna visível a aceleração do aprendizado profundo no reconhecimento de imagens.</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2017</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Fato histórico. Attention Is All You Need apresenta a arquitetura Transformer, que se tornará central para grandes modelos de linguagem e muitos sistemas generativos.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30 de novembro de 2022</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histórico. ChatGPT é apresentado ao público como prévia de pesquisa e torna a IA conversacional acessível em escala cotidiana.</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Décadas de 2010 e 2020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Síntese histórica. Serviços em nuvem, centros de dados, APIs, plataformas e objetos conectados se combinam em uma infraestrutura cada vez mais invisível da qual dependem trabalho, saúde, governo, mobilidade e informação.</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1º de agosto de 2024</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Fato regulatório. Entra em vigor o Regulamento (UE) 2024/1689, conhecido como AI Act. Suas disposições são aplicadas progressivamente; a data não significa que todas as obrigações começam ao mesmo tempo.</w:t>
            </w:r>
          </w:p>
        </w:tc>
      </w:tr>
      <w:tr>
        <w:trPr>
          <w:cantSplit/>
        </w:trPr>
        <w:tc>
          <w:tcPr>
            <w:tcW w:type="dxa" w:w="2249"/>
            <w:vAlign w:val="center"/>
            <w:tcMar>
              <w:top w:w="65" w:type="dxa"/>
              <w:start w:w="120" w:type="dxa"/>
              <w:bottom w:w="65" w:type="dxa"/>
              <w:end w:w="120" w:type="dxa"/>
            </w:tcMar>
          </w:tcPr>
          <w:p>
            <w:pPr>
              <w:spacing w:after="0" w:line="240" w:lineRule="auto"/>
            </w:pPr>
            <w:r>
              <w:rPr>
                <w:rFonts w:ascii="DejaVu Sans" w:hAnsi="DejaVu Sans" w:eastAsia="DejaVu Sans"/>
                <w:b/>
                <w:color w:val="1E2528"/>
                <w:sz w:val="14"/>
              </w:rPr>
              <w:t>Por volta de 2050</w:t>
            </w:r>
          </w:p>
        </w:tc>
        <w:tc>
          <w:tcPr>
            <w:tcW w:type="dxa" w:w="7975"/>
            <w:vAlign w:val="center"/>
            <w:tcMar>
              <w:top w:w="65" w:type="dxa"/>
              <w:start w:w="120" w:type="dxa"/>
              <w:bottom w:w="65" w:type="dxa"/>
              <w:end w:w="120" w:type="dxa"/>
            </w:tcMar>
          </w:tcPr>
          <w:p>
            <w:pPr>
              <w:spacing w:after="0" w:line="240" w:lineRule="auto"/>
            </w:pPr>
            <w:r>
              <w:rPr>
                <w:rFonts w:ascii="DejaVu Sans" w:hAnsi="DejaVu Sans" w:eastAsia="DejaVu Sans"/>
                <w:b w:val="0"/>
                <w:color w:val="1E2528"/>
                <w:sz w:val="14"/>
              </w:rPr>
              <w:t>Cenário narrativo. As vinhetas, organizadas por temas, abrangem vários anos. Os intervalos de catorze e dezoito meses pertencem ao fio de Asha; os reexames de seis meses correspondem a Marta e Lidia e a Davide. Datas, custos, tempos, quantidades, capacidades e configurações geopolíticas futuras são parâmetros do cenário, não previsões nem valores observados. Os cenários incluem projetos limitados, interrompidos e não adotados.</w:t>
            </w:r>
          </w:p>
        </w:tc>
      </w:tr>
      <w:tr>
        <w:trPr>
          <w:cantSplit/>
        </w:trPr>
        <w:tc>
          <w:tcPr>
            <w:tcW w:type="dxa" w:w="2249"/>
            <w:vAlign w:val="center"/>
            <w:tcMar>
              <w:top w:w="65" w:type="dxa"/>
              <w:start w:w="120" w:type="dxa"/>
              <w:bottom w:w="65" w:type="dxa"/>
              <w:end w:w="120" w:type="dxa"/>
            </w:tcMar>
            <w:shd w:fill="EFF2F3"/>
          </w:tcPr>
          <w:p>
            <w:pPr>
              <w:spacing w:after="0" w:line="240" w:lineRule="auto"/>
            </w:pPr>
            <w:r>
              <w:rPr>
                <w:rFonts w:ascii="DejaVu Sans" w:hAnsi="DejaVu Sans" w:eastAsia="DejaVu Sans"/>
                <w:b/>
                <w:color w:val="1E2528"/>
                <w:sz w:val="14"/>
              </w:rPr>
              <w:t>Propostas do livro</w:t>
            </w:r>
          </w:p>
        </w:tc>
        <w:tc>
          <w:tcPr>
            <w:tcW w:type="dxa" w:w="7975"/>
            <w:vAlign w:val="center"/>
            <w:tcMar>
              <w:top w:w="65" w:type="dxa"/>
              <w:start w:w="120" w:type="dxa"/>
              <w:bottom w:w="65" w:type="dxa"/>
              <w:end w:w="120" w:type="dxa"/>
            </w:tcMar>
            <w:shd w:fill="EFF2F3"/>
          </w:tcPr>
          <w:p>
            <w:pPr>
              <w:spacing w:after="0" w:line="240" w:lineRule="auto"/>
            </w:pPr>
            <w:r>
              <w:rPr>
                <w:rFonts w:ascii="DejaVu Sans" w:hAnsi="DejaVu Sans" w:eastAsia="DejaVu Sans"/>
                <w:b w:val="0"/>
                <w:color w:val="1E2528"/>
                <w:sz w:val="14"/>
              </w:rPr>
              <w:t>Proposta do autor. O Teste 2050, a minimização da prova, o gêmeo operacional, a licença viva e a diretriz digital post mortem são ferramentas que devem ser testadas, corrigidas ou abandonadas: não são fatos consumados, legislação uniforme nem previsões.</w:t>
            </w:r>
          </w:p>
        </w:tc>
      </w:tr>
    </w:tbl>
    <w:p>
      <w:pPr>
        <w:spacing w:after="0"/>
      </w:pPr>
    </w:p>
    <w:p>
      <w:pPr>
        <w:pStyle w:val="Heading1"/>
      </w:pPr>
      <w:r>
        <w:t>Como citar a cronologia</w:t>
      </w:r>
    </w:p>
    <w:p>
      <w:pPr>
        <w:keepLines w:val="0"/>
      </w:pPr>
      <w:r>
        <w:rPr>
          <w:rFonts w:ascii="DejaVu Sans" w:hAnsi="DejaVu Sans" w:eastAsia="DejaVu Sans"/>
          <w:color w:val="1E2528"/>
          <w:sz w:val="18"/>
        </w:rPr>
        <w:t>As entradas históricas e regulatórias remetem à bibliografia pesquisável do Centro de recursos. As cenas situadas por volta de 2050 permanecem parâmetros narrativos, não previsões. As propostas do livro devem ser testadas, corrigidas ou abandonadas segundo as evidências e o contexto.</w:t>
      </w:r>
    </w:p>
    <w:sectPr w:rsidR="00FC693F" w:rsidRPr="0006063C" w:rsidSect="00034616">
      <w:headerReference w:type="default" r:id="rId9"/>
      <w:footerReference w:type="default" r:id="rId10"/>
      <w:footerReference w:type="first" r:id="rId11"/>
      <w:headerReference w:type="even" r:id="rId14"/>
      <w:footerReference w:type="even" r:id="rId15"/>
      <w:pgSz w:w="12240" w:h="15840"/>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PT-BR-R1 - LETTER - Versão arquivada da edição brasileira - julho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https://www.corneritaliano.com/pt/2050/recursos/</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pPr>
    <w:r>
      <w:rPr>
        <w:rFonts w:ascii="DejaVu Sans" w:hAnsi="DejaVu Sans" w:eastAsia="DejaVu Sans"/>
        <w:color w:val="5D6870"/>
        <w:sz w:val="14"/>
      </w:rPr>
      <w:t>2050 - PT-BR-R1 - LETTER - Versão arquivada da edição brasileira - julho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OFICIAIS  |  </w:t>
    </w:r>
    <w:r>
      <w:rPr>
        <w:rFonts w:ascii="DejaVu Sans" w:hAnsi="DejaVu Sans" w:eastAsia="DejaVu Sans"/>
        <w:color w:val="5D6870"/>
        <w:sz w:val="15"/>
      </w:rPr>
      <w:t>Cronologia essencial</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OFICIAIS  |  </w:t>
    </w:r>
    <w:r>
      <w:rPr>
        <w:rFonts w:ascii="DejaVu Sans" w:hAnsi="DejaVu Sans" w:eastAsia="DejaVu Sans"/>
        <w:color w:val="5D6870"/>
        <w:sz w:val="15"/>
      </w:rPr>
      <w:t>Cronologia essencial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pt/2050/recursos/" TargetMode="External"/><Relationship Id="rId14" Type="http://schemas.openxmlformats.org/officeDocument/2006/relationships/header" Target="header2.xml"/><Relationship Id="rId1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Cronologia essencial</dc:title>
  <dc:subject>Recurso complementar oficial de 2050</dc:subject>
  <dc:creator>Corner Italiano LLC</dc:creator>
  <cp:keywords>2050, inteligência artificial, Teste 2050, recursos</cp:keywords>
  <dc:description>generated by python-docx</dc:description>
  <cp:lastModifiedBy>Corner Italiano LLC</cp:lastModifiedBy>
  <cp:revision>1</cp:revision>
  <dcterms:created xsi:type="dcterms:W3CDTF">2013-12-23T23:15:00Z</dcterms:created>
  <dcterms:modified xsi:type="dcterms:W3CDTF">2013-12-23T23:15:00Z</dcterms:modified>
  <cp:category/>
</cp:coreProperties>
</file>